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FD" w:rsidRPr="00F8118E" w:rsidRDefault="00C2402B" w:rsidP="00F472FD">
      <w:pPr>
        <w:pStyle w:val="berschrift5"/>
        <w:keepNext w:val="0"/>
        <w:framePr w:w="4895" w:wrap="around" w:x="5896" w:y="51"/>
        <w:widowControl w:val="0"/>
        <w:rPr>
          <w:b w:val="0"/>
          <w:lang w:val="de-DE"/>
        </w:rPr>
      </w:pPr>
      <w:r w:rsidRPr="00F8118E">
        <w:rPr>
          <w:lang w:val="de-DE"/>
        </w:rPr>
        <w:t xml:space="preserve">INF. </w:t>
      </w:r>
      <w:r w:rsidR="003447FA">
        <w:rPr>
          <w:lang w:val="de-DE"/>
        </w:rPr>
        <w:t>18</w:t>
      </w:r>
    </w:p>
    <w:p w:rsidR="00F472FD" w:rsidRPr="00F8118E" w:rsidRDefault="00F472FD" w:rsidP="00F472FD">
      <w:pPr>
        <w:framePr w:w="4895" w:h="1470" w:hSpace="141" w:wrap="around" w:vAnchor="text" w:hAnchor="page" w:x="5896" w:y="51"/>
        <w:widowControl w:val="0"/>
        <w:pBdr>
          <w:top w:val="single" w:sz="6" w:space="1" w:color="auto"/>
          <w:left w:val="single" w:sz="6" w:space="1" w:color="auto"/>
          <w:bottom w:val="single" w:sz="6" w:space="1" w:color="auto"/>
          <w:right w:val="single" w:sz="6" w:space="1" w:color="auto"/>
        </w:pBdr>
        <w:ind w:left="1077"/>
        <w:jc w:val="right"/>
      </w:pPr>
    </w:p>
    <w:p w:rsidR="00F472FD" w:rsidRPr="00EE168C" w:rsidRDefault="003447FA" w:rsidP="00F472FD">
      <w:pPr>
        <w:framePr w:w="4895" w:h="1470" w:hSpace="141" w:wrap="around" w:vAnchor="text" w:hAnchor="page" w:x="5896" w:y="51"/>
        <w:widowControl w:val="0"/>
        <w:pBdr>
          <w:top w:val="single" w:sz="6" w:space="1" w:color="auto"/>
          <w:left w:val="single" w:sz="6" w:space="1" w:color="auto"/>
          <w:bottom w:val="single" w:sz="6" w:space="1" w:color="auto"/>
          <w:right w:val="single" w:sz="6" w:space="1" w:color="auto"/>
        </w:pBdr>
        <w:ind w:left="1077"/>
        <w:jc w:val="right"/>
      </w:pPr>
      <w:r w:rsidRPr="003447FA">
        <w:t>4</w:t>
      </w:r>
      <w:r w:rsidR="00F472FD" w:rsidRPr="003447FA">
        <w:t>.</w:t>
      </w:r>
      <w:r w:rsidR="00F472FD">
        <w:t> </w:t>
      </w:r>
      <w:r w:rsidR="00C2402B">
        <w:t>März</w:t>
      </w:r>
      <w:r w:rsidR="00F472FD">
        <w:t xml:space="preserve"> 202</w:t>
      </w:r>
      <w:r w:rsidR="00C2402B">
        <w:t>4</w:t>
      </w:r>
    </w:p>
    <w:p w:rsidR="00F472FD" w:rsidRPr="00EE168C" w:rsidRDefault="00F472FD" w:rsidP="00F472FD">
      <w:pPr>
        <w:framePr w:w="4895" w:h="1470" w:hSpace="141" w:wrap="around" w:vAnchor="text" w:hAnchor="page" w:x="5896" w:y="51"/>
        <w:widowControl w:val="0"/>
        <w:pBdr>
          <w:top w:val="single" w:sz="6" w:space="1" w:color="auto"/>
          <w:left w:val="single" w:sz="6" w:space="1" w:color="auto"/>
          <w:bottom w:val="single" w:sz="6" w:space="1" w:color="auto"/>
          <w:right w:val="single" w:sz="6" w:space="1" w:color="auto"/>
        </w:pBdr>
        <w:ind w:left="1077"/>
        <w:jc w:val="right"/>
      </w:pPr>
    </w:p>
    <w:p w:rsidR="00F472FD" w:rsidRPr="00EE168C" w:rsidRDefault="00F472FD" w:rsidP="00F472FD">
      <w:pPr>
        <w:framePr w:w="4895" w:h="1470" w:hSpace="141" w:wrap="around" w:vAnchor="text" w:hAnchor="page" w:x="5896" w:y="51"/>
        <w:widowControl w:val="0"/>
        <w:pBdr>
          <w:top w:val="single" w:sz="6" w:space="1" w:color="auto"/>
          <w:left w:val="single" w:sz="6" w:space="1" w:color="auto"/>
          <w:bottom w:val="single" w:sz="6" w:space="1" w:color="auto"/>
          <w:right w:val="single" w:sz="6" w:space="1" w:color="auto"/>
        </w:pBdr>
        <w:ind w:left="1077"/>
        <w:jc w:val="right"/>
      </w:pPr>
      <w:r w:rsidRPr="00EE168C">
        <w:t xml:space="preserve">Original: </w:t>
      </w:r>
      <w:r w:rsidR="00C2402B">
        <w:t>Engli</w:t>
      </w:r>
      <w:r>
        <w:t>sch</w:t>
      </w:r>
    </w:p>
    <w:p w:rsidR="005D18DA" w:rsidRPr="00EE168C" w:rsidRDefault="005D18DA">
      <w:pPr>
        <w:widowControl w:val="0"/>
      </w:pPr>
    </w:p>
    <w:p w:rsidR="005D18DA" w:rsidRPr="00EE168C" w:rsidRDefault="005D18DA">
      <w:pPr>
        <w:widowControl w:val="0"/>
        <w:sectPr w:rsidR="005D18DA" w:rsidRPr="00EE168C">
          <w:headerReference w:type="even" r:id="rId8"/>
          <w:headerReference w:type="default" r:id="rId9"/>
          <w:footerReference w:type="even" r:id="rId10"/>
          <w:footerReference w:type="default" r:id="rId11"/>
          <w:headerReference w:type="first" r:id="rId12"/>
          <w:footerReference w:type="first" r:id="rId13"/>
          <w:pgSz w:w="11907" w:h="16840" w:code="9"/>
          <w:pgMar w:top="1134" w:right="794" w:bottom="1134" w:left="794" w:header="567" w:footer="567" w:gutter="0"/>
          <w:cols w:space="720"/>
          <w:titlePg/>
        </w:sectPr>
      </w:pPr>
    </w:p>
    <w:p w:rsidR="005D18DA" w:rsidRPr="00EE168C" w:rsidRDefault="005D18DA">
      <w:pPr>
        <w:widowControl w:val="0"/>
        <w:rPr>
          <w:b/>
          <w:u w:val="single"/>
        </w:rPr>
      </w:pPr>
    </w:p>
    <w:p w:rsidR="005D18DA" w:rsidRDefault="005D18DA">
      <w:pPr>
        <w:widowControl w:val="0"/>
        <w:rPr>
          <w:b/>
          <w:u w:val="single"/>
        </w:rPr>
      </w:pPr>
    </w:p>
    <w:p w:rsidR="00F472FD" w:rsidRPr="00154181" w:rsidRDefault="00F472FD">
      <w:pPr>
        <w:widowControl w:val="0"/>
        <w:rPr>
          <w:b/>
          <w:u w:val="single"/>
        </w:rPr>
      </w:pPr>
    </w:p>
    <w:p w:rsidR="00F472FD" w:rsidRPr="00154181" w:rsidRDefault="00F472FD">
      <w:pPr>
        <w:widowControl w:val="0"/>
        <w:rPr>
          <w:b/>
          <w:u w:val="single"/>
        </w:rPr>
      </w:pPr>
    </w:p>
    <w:p w:rsidR="00F472FD" w:rsidRPr="00154181" w:rsidRDefault="00F472FD">
      <w:pPr>
        <w:widowControl w:val="0"/>
        <w:rPr>
          <w:b/>
          <w:u w:val="single"/>
        </w:rPr>
      </w:pPr>
    </w:p>
    <w:p w:rsidR="00F472FD" w:rsidRDefault="00F472FD">
      <w:pPr>
        <w:widowControl w:val="0"/>
        <w:rPr>
          <w:b/>
          <w:u w:val="single"/>
        </w:rPr>
      </w:pPr>
    </w:p>
    <w:p w:rsidR="00F472FD" w:rsidRDefault="00F472FD">
      <w:pPr>
        <w:widowControl w:val="0"/>
        <w:rPr>
          <w:b/>
          <w:u w:val="single"/>
        </w:rPr>
      </w:pPr>
    </w:p>
    <w:p w:rsidR="00F472FD" w:rsidRDefault="00F472FD">
      <w:pPr>
        <w:widowControl w:val="0"/>
        <w:rPr>
          <w:b/>
          <w:u w:val="single"/>
        </w:rPr>
      </w:pPr>
    </w:p>
    <w:p w:rsidR="00F472FD" w:rsidRDefault="00F472FD">
      <w:pPr>
        <w:widowControl w:val="0"/>
        <w:rPr>
          <w:b/>
          <w:u w:val="single"/>
        </w:rPr>
      </w:pPr>
    </w:p>
    <w:p w:rsidR="00F472FD" w:rsidRDefault="00F472FD">
      <w:pPr>
        <w:widowControl w:val="0"/>
        <w:rPr>
          <w:b/>
          <w:u w:val="single"/>
        </w:rPr>
      </w:pPr>
    </w:p>
    <w:p w:rsidR="00F472FD" w:rsidRPr="00EE168C" w:rsidRDefault="00F472FD">
      <w:pPr>
        <w:widowControl w:val="0"/>
        <w:rPr>
          <w:b/>
          <w:u w:val="single"/>
        </w:rPr>
      </w:pPr>
    </w:p>
    <w:p w:rsidR="005D18DA" w:rsidRPr="00EE168C" w:rsidRDefault="005D18DA">
      <w:pPr>
        <w:widowControl w:val="0"/>
        <w:rPr>
          <w:b/>
          <w:u w:val="single"/>
        </w:rPr>
      </w:pPr>
    </w:p>
    <w:p w:rsidR="005D18DA" w:rsidRPr="00EE168C" w:rsidRDefault="005D18DA">
      <w:pPr>
        <w:widowControl w:val="0"/>
        <w:jc w:val="left"/>
        <w:rPr>
          <w:b/>
        </w:rPr>
      </w:pPr>
      <w:r w:rsidRPr="00EE168C">
        <w:rPr>
          <w:b/>
          <w:u w:val="single"/>
        </w:rPr>
        <w:t>RID/ADR</w:t>
      </w:r>
      <w:r w:rsidR="001E50D8" w:rsidRPr="00EE168C">
        <w:rPr>
          <w:b/>
          <w:u w:val="single"/>
        </w:rPr>
        <w:t>/ADN</w:t>
      </w:r>
    </w:p>
    <w:p w:rsidR="005D18DA" w:rsidRPr="00EE168C" w:rsidRDefault="005D18DA">
      <w:pPr>
        <w:widowControl w:val="0"/>
        <w:jc w:val="left"/>
      </w:pPr>
    </w:p>
    <w:p w:rsidR="00511A7F" w:rsidRPr="00EE168C" w:rsidRDefault="00511A7F" w:rsidP="00511A7F">
      <w:pPr>
        <w:widowControl w:val="0"/>
        <w:jc w:val="left"/>
      </w:pPr>
      <w:r w:rsidRPr="00EE168C">
        <w:t>Gemeinsame Tagung des RID-Fachausschusses und der</w:t>
      </w:r>
    </w:p>
    <w:p w:rsidR="00511A7F" w:rsidRPr="00EE168C" w:rsidRDefault="00511A7F" w:rsidP="00511A7F">
      <w:pPr>
        <w:widowControl w:val="0"/>
        <w:jc w:val="left"/>
      </w:pPr>
      <w:r w:rsidRPr="00EE168C">
        <w:t>Arbeitsgruppe für die Beförderung gefährlicher Güter</w:t>
      </w:r>
    </w:p>
    <w:p w:rsidR="00511A7F" w:rsidRDefault="008511CE" w:rsidP="00511A7F">
      <w:pPr>
        <w:widowControl w:val="0"/>
        <w:jc w:val="left"/>
      </w:pPr>
      <w:r w:rsidRPr="00EE168C">
        <w:t>(</w:t>
      </w:r>
      <w:r w:rsidR="00154181">
        <w:t>Bern</w:t>
      </w:r>
      <w:r>
        <w:t xml:space="preserve">, </w:t>
      </w:r>
      <w:r w:rsidR="00154181">
        <w:t>25</w:t>
      </w:r>
      <w:r w:rsidR="002E681B">
        <w:t xml:space="preserve">. bis </w:t>
      </w:r>
      <w:r w:rsidR="00935A06">
        <w:t>2</w:t>
      </w:r>
      <w:r w:rsidR="00154181">
        <w:t>8</w:t>
      </w:r>
      <w:r w:rsidR="002E681B">
        <w:t>. </w:t>
      </w:r>
      <w:r w:rsidR="00154181">
        <w:t>März</w:t>
      </w:r>
      <w:r w:rsidR="002E681B">
        <w:t xml:space="preserve"> 202</w:t>
      </w:r>
      <w:r w:rsidR="00154181">
        <w:t>4</w:t>
      </w:r>
      <w:r w:rsidRPr="00EE168C">
        <w:t>)</w:t>
      </w:r>
    </w:p>
    <w:p w:rsidR="0070019B" w:rsidRPr="00EE168C" w:rsidRDefault="0070019B" w:rsidP="0070019B">
      <w:pPr>
        <w:widowControl w:val="0"/>
        <w:jc w:val="left"/>
      </w:pPr>
    </w:p>
    <w:p w:rsidR="0070019B" w:rsidRPr="00EE168C" w:rsidRDefault="0070019B" w:rsidP="0070019B">
      <w:pPr>
        <w:widowControl w:val="0"/>
        <w:jc w:val="left"/>
      </w:pPr>
    </w:p>
    <w:p w:rsidR="0070019B" w:rsidRPr="00EE168C" w:rsidRDefault="00511A7F" w:rsidP="0070019B">
      <w:pPr>
        <w:widowControl w:val="0"/>
        <w:jc w:val="left"/>
      </w:pPr>
      <w:r w:rsidRPr="00EE168C">
        <w:rPr>
          <w:b/>
          <w:u w:val="single"/>
        </w:rPr>
        <w:t xml:space="preserve">Tagesordnungspunkt </w:t>
      </w:r>
      <w:r w:rsidR="00C2402B">
        <w:rPr>
          <w:b/>
          <w:u w:val="single"/>
        </w:rPr>
        <w:t>2</w:t>
      </w:r>
      <w:r w:rsidR="004D69C0" w:rsidRPr="00EE168C">
        <w:rPr>
          <w:b/>
          <w:u w:val="single"/>
        </w:rPr>
        <w:t>:</w:t>
      </w:r>
      <w:r w:rsidR="0070019B" w:rsidRPr="00EE168C">
        <w:rPr>
          <w:b/>
          <w:bCs/>
          <w:u w:val="single"/>
        </w:rPr>
        <w:tab/>
      </w:r>
      <w:r w:rsidR="00C2402B">
        <w:rPr>
          <w:b/>
          <w:bCs/>
          <w:u w:val="single"/>
        </w:rPr>
        <w:t>Tanks</w:t>
      </w:r>
    </w:p>
    <w:p w:rsidR="0070019B" w:rsidRPr="00EE168C" w:rsidRDefault="0070019B" w:rsidP="0070019B">
      <w:pPr>
        <w:widowControl w:val="0"/>
        <w:jc w:val="left"/>
      </w:pPr>
    </w:p>
    <w:p w:rsidR="0070019B" w:rsidRPr="00EE168C" w:rsidRDefault="0070019B" w:rsidP="0070019B">
      <w:pPr>
        <w:widowControl w:val="0"/>
        <w:jc w:val="left"/>
      </w:pPr>
    </w:p>
    <w:p w:rsidR="0070019B" w:rsidRPr="00EE168C" w:rsidRDefault="0070019B" w:rsidP="0070019B">
      <w:pPr>
        <w:widowControl w:val="0"/>
        <w:jc w:val="left"/>
      </w:pPr>
    </w:p>
    <w:p w:rsidR="0070019B" w:rsidRPr="00EE168C" w:rsidRDefault="00C2402B" w:rsidP="0070019B">
      <w:pPr>
        <w:widowControl w:val="0"/>
        <w:jc w:val="left"/>
        <w:rPr>
          <w:b/>
          <w:u w:val="single"/>
        </w:rPr>
      </w:pPr>
      <w:r>
        <w:rPr>
          <w:b/>
          <w:u w:val="single"/>
        </w:rPr>
        <w:t>Bericht der Tank-Arbeitsgruppe</w:t>
      </w:r>
    </w:p>
    <w:p w:rsidR="0070019B" w:rsidRPr="00EE168C" w:rsidRDefault="0070019B" w:rsidP="0070019B">
      <w:pPr>
        <w:widowControl w:val="0"/>
        <w:jc w:val="left"/>
      </w:pPr>
    </w:p>
    <w:p w:rsidR="005D18DA" w:rsidRPr="00EE168C" w:rsidRDefault="005D18DA">
      <w:pPr>
        <w:widowControl w:val="0"/>
        <w:pBdr>
          <w:bottom w:val="single" w:sz="12" w:space="1" w:color="auto"/>
        </w:pBdr>
        <w:jc w:val="left"/>
      </w:pPr>
    </w:p>
    <w:p w:rsidR="00C6226D" w:rsidRPr="00EE168C" w:rsidRDefault="00C6226D">
      <w:pPr>
        <w:widowControl w:val="0"/>
        <w:jc w:val="left"/>
      </w:pPr>
    </w:p>
    <w:p w:rsidR="007A4CDC" w:rsidRDefault="007A4CDC" w:rsidP="007A4CDC">
      <w:pPr>
        <w:tabs>
          <w:tab w:val="clear" w:pos="851"/>
          <w:tab w:val="clear" w:pos="1276"/>
          <w:tab w:val="left" w:pos="1843"/>
          <w:tab w:val="left" w:pos="2977"/>
          <w:tab w:val="left" w:pos="4395"/>
        </w:tabs>
        <w:ind w:left="425" w:hanging="425"/>
      </w:pPr>
      <w:r>
        <w:t>1.</w:t>
      </w:r>
      <w:r>
        <w:tab/>
      </w:r>
      <w:r w:rsidRPr="00FD05CA">
        <w:t>Die Tank-Ar</w:t>
      </w:r>
      <w:r>
        <w:t>beitsgruppe hat am 26. und 27. Februar 2024</w:t>
      </w:r>
      <w:r w:rsidRPr="00FD05CA">
        <w:t xml:space="preserve"> auf der Grundlage eines entsprechenden Mandats der Gemeinsamen RID/ADR/ADN-Tagung unter dem Vorsitz von Herrn Arne </w:t>
      </w:r>
      <w:proofErr w:type="spellStart"/>
      <w:r w:rsidRPr="00FD05CA">
        <w:t>Bale</w:t>
      </w:r>
      <w:proofErr w:type="spellEnd"/>
      <w:r w:rsidRPr="00FD05CA">
        <w:t xml:space="preserve"> (Vereinigtes Königreich) und mit Herrn Kees de Putter (Niederlande) als Sekretär </w:t>
      </w:r>
      <w:r>
        <w:t>eine virtuelle Sitzung abgehalten</w:t>
      </w:r>
      <w:r w:rsidRPr="00FD05CA">
        <w:t>.</w:t>
      </w:r>
    </w:p>
    <w:p w:rsidR="00C958ED" w:rsidRPr="00FD05CA" w:rsidRDefault="00C958ED" w:rsidP="00C958ED">
      <w:pPr>
        <w:tabs>
          <w:tab w:val="clear" w:pos="851"/>
          <w:tab w:val="clear" w:pos="1276"/>
          <w:tab w:val="left" w:pos="1843"/>
          <w:tab w:val="left" w:pos="2977"/>
          <w:tab w:val="left" w:pos="4395"/>
        </w:tabs>
        <w:ind w:left="425" w:hanging="425"/>
      </w:pPr>
    </w:p>
    <w:p w:rsidR="00C958ED" w:rsidRPr="00FD05CA" w:rsidRDefault="00C958ED" w:rsidP="00C958ED">
      <w:pPr>
        <w:tabs>
          <w:tab w:val="clear" w:pos="851"/>
          <w:tab w:val="clear" w:pos="1276"/>
          <w:tab w:val="left" w:pos="1843"/>
          <w:tab w:val="left" w:pos="2977"/>
          <w:tab w:val="left" w:pos="4395"/>
        </w:tabs>
        <w:ind w:left="425" w:hanging="425"/>
      </w:pPr>
      <w:r w:rsidRPr="00FD05CA">
        <w:t>2.</w:t>
      </w:r>
      <w:r w:rsidRPr="00FD05CA">
        <w:tab/>
      </w:r>
      <w:r>
        <w:t xml:space="preserve">An der Sitzung der </w:t>
      </w:r>
      <w:r w:rsidRPr="00FD05CA">
        <w:t>Tank-Arbeitsgruppe</w:t>
      </w:r>
      <w:r>
        <w:t xml:space="preserve"> nahmen 31 Sachverständige aus 12 Staaten und 5</w:t>
      </w:r>
      <w:r w:rsidRPr="00FD05CA">
        <w:t xml:space="preserve"> Nichtregierungsorganisationen</w:t>
      </w:r>
      <w:r>
        <w:t xml:space="preserve"> teil. Die f</w:t>
      </w:r>
      <w:r w:rsidRPr="00FD05CA">
        <w:t>olgende</w:t>
      </w:r>
      <w:r>
        <w:t>n</w:t>
      </w:r>
      <w:r w:rsidRPr="00FD05CA">
        <w:t xml:space="preserve"> </w:t>
      </w:r>
      <w:r>
        <w:t xml:space="preserve">offiziellen und informellen </w:t>
      </w:r>
      <w:r w:rsidRPr="00FD05CA">
        <w:t xml:space="preserve">Dokumente </w:t>
      </w:r>
      <w:r>
        <w:t xml:space="preserve">wurden </w:t>
      </w:r>
      <w:r w:rsidRPr="00FD05CA">
        <w:t>behandelt:</w:t>
      </w:r>
    </w:p>
    <w:p w:rsidR="00C958ED" w:rsidRPr="00FD05CA" w:rsidRDefault="00C958ED" w:rsidP="00C958ED">
      <w:pPr>
        <w:tabs>
          <w:tab w:val="clear" w:pos="851"/>
          <w:tab w:val="clear" w:pos="1276"/>
          <w:tab w:val="left" w:pos="1843"/>
          <w:tab w:val="left" w:pos="2977"/>
          <w:tab w:val="left" w:pos="4395"/>
        </w:tabs>
        <w:ind w:left="850" w:hanging="425"/>
      </w:pPr>
    </w:p>
    <w:p w:rsidR="00C958ED" w:rsidRPr="00FD05CA" w:rsidRDefault="00C958ED" w:rsidP="00C958ED">
      <w:pPr>
        <w:tabs>
          <w:tab w:val="clear" w:pos="851"/>
          <w:tab w:val="clear" w:pos="1276"/>
          <w:tab w:val="left" w:pos="1843"/>
          <w:tab w:val="left" w:pos="2694"/>
          <w:tab w:val="left" w:pos="4395"/>
        </w:tabs>
        <w:ind w:left="2694" w:hanging="2269"/>
        <w:rPr>
          <w:i/>
        </w:rPr>
      </w:pPr>
      <w:r w:rsidRPr="00FD05CA">
        <w:rPr>
          <w:i/>
        </w:rPr>
        <w:t>Dokumente:</w:t>
      </w:r>
    </w:p>
    <w:p w:rsidR="00C958ED" w:rsidRDefault="00C958ED" w:rsidP="00C958ED">
      <w:pPr>
        <w:tabs>
          <w:tab w:val="clear" w:pos="851"/>
          <w:tab w:val="clear" w:pos="1276"/>
          <w:tab w:val="left" w:pos="1843"/>
          <w:tab w:val="left" w:pos="2694"/>
          <w:tab w:val="left" w:pos="4395"/>
        </w:tabs>
        <w:ind w:left="2694" w:hanging="2269"/>
      </w:pPr>
    </w:p>
    <w:p w:rsidR="00C958ED" w:rsidRPr="00751AF0" w:rsidRDefault="00C958ED" w:rsidP="00C958ED">
      <w:pPr>
        <w:widowControl w:val="0"/>
        <w:tabs>
          <w:tab w:val="clear" w:pos="851"/>
          <w:tab w:val="left" w:pos="709"/>
          <w:tab w:val="left" w:pos="1843"/>
        </w:tabs>
        <w:ind w:left="709" w:hanging="284"/>
      </w:pPr>
      <w:r w:rsidRPr="00C958ED">
        <w:t>–</w:t>
      </w:r>
      <w:r w:rsidRPr="00C958ED">
        <w:tab/>
        <w:t>OTIF/RID/RC/2023-</w:t>
      </w:r>
      <w:r>
        <w:t>B/Add.1</w:t>
      </w:r>
      <w:r w:rsidRPr="00C958ED">
        <w:t xml:space="preserve"> – ECE/TRANS/WP.15/AC.1/170/Add.1 </w:t>
      </w:r>
      <w:r w:rsidRPr="00751AF0">
        <w:t xml:space="preserve">(Bericht der Gemeinsamen Tagung im </w:t>
      </w:r>
      <w:r>
        <w:t>Herbst</w:t>
      </w:r>
      <w:r w:rsidRPr="00751AF0">
        <w:t xml:space="preserve"> 2023)</w:t>
      </w:r>
    </w:p>
    <w:p w:rsidR="00C958ED" w:rsidRPr="00497799" w:rsidRDefault="00C958ED" w:rsidP="00C958ED">
      <w:pPr>
        <w:widowControl w:val="0"/>
        <w:tabs>
          <w:tab w:val="clear" w:pos="851"/>
          <w:tab w:val="left" w:pos="709"/>
          <w:tab w:val="left" w:pos="1843"/>
        </w:tabs>
        <w:ind w:left="709" w:hanging="284"/>
        <w:rPr>
          <w:lang w:val="en-US"/>
        </w:rPr>
      </w:pPr>
      <w:r w:rsidRPr="00497799">
        <w:rPr>
          <w:lang w:val="en-US"/>
        </w:rPr>
        <w:t>–</w:t>
      </w:r>
      <w:r w:rsidRPr="00497799">
        <w:rPr>
          <w:lang w:val="en-US"/>
        </w:rPr>
        <w:tab/>
      </w:r>
      <w:r>
        <w:rPr>
          <w:lang w:val="en-US"/>
        </w:rPr>
        <w:t>OTIF/RID/RC/2024</w:t>
      </w:r>
      <w:r w:rsidRPr="00497799">
        <w:rPr>
          <w:lang w:val="en-US"/>
        </w:rPr>
        <w:t>/1 (</w:t>
      </w:r>
      <w:r>
        <w:rPr>
          <w:lang w:val="en-US"/>
        </w:rPr>
        <w:t>UIP</w:t>
      </w:r>
      <w:r w:rsidRPr="00497799">
        <w:rPr>
          <w:lang w:val="en-US"/>
        </w:rPr>
        <w:t>)</w:t>
      </w:r>
    </w:p>
    <w:p w:rsidR="00C958ED" w:rsidRPr="00F8118E" w:rsidRDefault="00C958ED" w:rsidP="00C958ED">
      <w:pPr>
        <w:widowControl w:val="0"/>
        <w:tabs>
          <w:tab w:val="clear" w:pos="851"/>
          <w:tab w:val="left" w:pos="709"/>
          <w:tab w:val="left" w:pos="1843"/>
        </w:tabs>
        <w:ind w:left="709" w:hanging="284"/>
        <w:rPr>
          <w:lang w:val="en-US"/>
        </w:rPr>
      </w:pPr>
      <w:r w:rsidRPr="00F8118E">
        <w:rPr>
          <w:lang w:val="en-US"/>
        </w:rPr>
        <w:t>–</w:t>
      </w:r>
      <w:r w:rsidRPr="00F8118E">
        <w:rPr>
          <w:lang w:val="en-US"/>
        </w:rPr>
        <w:tab/>
        <w:t>OTIF/RID/RC/2024/2 (</w:t>
      </w:r>
      <w:proofErr w:type="spellStart"/>
      <w:r w:rsidRPr="00F8118E">
        <w:rPr>
          <w:lang w:val="en-US"/>
        </w:rPr>
        <w:t>Spanien</w:t>
      </w:r>
      <w:proofErr w:type="spellEnd"/>
      <w:r w:rsidRPr="00F8118E">
        <w:rPr>
          <w:lang w:val="en-US"/>
        </w:rPr>
        <w:t>)</w:t>
      </w:r>
    </w:p>
    <w:p w:rsidR="00C958ED" w:rsidRPr="00C958ED" w:rsidRDefault="00C958ED" w:rsidP="00C958ED">
      <w:pPr>
        <w:widowControl w:val="0"/>
        <w:tabs>
          <w:tab w:val="clear" w:pos="851"/>
          <w:tab w:val="left" w:pos="709"/>
          <w:tab w:val="left" w:pos="1843"/>
        </w:tabs>
        <w:ind w:left="709" w:hanging="284"/>
      </w:pPr>
      <w:r w:rsidRPr="00C958ED">
        <w:t>–</w:t>
      </w:r>
      <w:r w:rsidRPr="00C958ED">
        <w:tab/>
        <w:t>OTIF/RID/RC/2024/</w:t>
      </w:r>
      <w:r>
        <w:t>5</w:t>
      </w:r>
      <w:r w:rsidRPr="00C958ED">
        <w:t xml:space="preserve"> (</w:t>
      </w:r>
      <w:r>
        <w:t>Russische Föderation</w:t>
      </w:r>
      <w:r w:rsidRPr="00C958ED">
        <w:t>)</w:t>
      </w:r>
    </w:p>
    <w:p w:rsidR="00C958ED" w:rsidRPr="00751AF0" w:rsidRDefault="00C958ED" w:rsidP="00C958ED">
      <w:pPr>
        <w:widowControl w:val="0"/>
        <w:tabs>
          <w:tab w:val="clear" w:pos="851"/>
          <w:tab w:val="left" w:pos="709"/>
          <w:tab w:val="left" w:pos="1843"/>
        </w:tabs>
        <w:ind w:left="709" w:hanging="284"/>
      </w:pPr>
      <w:r w:rsidRPr="00751AF0">
        <w:t>–</w:t>
      </w:r>
      <w:r w:rsidRPr="00751AF0">
        <w:tab/>
        <w:t>OTIF/RID/RC/202</w:t>
      </w:r>
      <w:r>
        <w:t>4/8</w:t>
      </w:r>
      <w:r w:rsidRPr="00751AF0">
        <w:t xml:space="preserve"> (</w:t>
      </w:r>
      <w:r>
        <w:t>Spanien und EIGA</w:t>
      </w:r>
      <w:r w:rsidRPr="00751AF0">
        <w:t>)</w:t>
      </w:r>
    </w:p>
    <w:p w:rsidR="00C958ED" w:rsidRPr="00751AF0" w:rsidRDefault="00C958ED" w:rsidP="00C958ED">
      <w:pPr>
        <w:widowControl w:val="0"/>
        <w:tabs>
          <w:tab w:val="clear" w:pos="851"/>
          <w:tab w:val="left" w:pos="709"/>
          <w:tab w:val="left" w:pos="1843"/>
        </w:tabs>
        <w:ind w:left="709" w:hanging="284"/>
      </w:pPr>
      <w:r w:rsidRPr="00751AF0">
        <w:t>–</w:t>
      </w:r>
      <w:r w:rsidRPr="00751AF0">
        <w:tab/>
        <w:t>OTIF/RID/RC/202</w:t>
      </w:r>
      <w:r>
        <w:t>4/18</w:t>
      </w:r>
      <w:r w:rsidRPr="00751AF0">
        <w:t xml:space="preserve"> (Niederlande)</w:t>
      </w:r>
    </w:p>
    <w:p w:rsidR="00C958ED" w:rsidRPr="00C958ED" w:rsidRDefault="00C958ED" w:rsidP="00C958ED">
      <w:pPr>
        <w:widowControl w:val="0"/>
        <w:tabs>
          <w:tab w:val="clear" w:pos="851"/>
          <w:tab w:val="left" w:pos="709"/>
          <w:tab w:val="left" w:pos="1843"/>
        </w:tabs>
        <w:ind w:left="709" w:hanging="284"/>
      </w:pPr>
      <w:r w:rsidRPr="00C958ED">
        <w:t>–</w:t>
      </w:r>
      <w:r w:rsidRPr="00C958ED">
        <w:tab/>
        <w:t>OTIF/RID/RC/2024/26 (</w:t>
      </w:r>
      <w:r>
        <w:t>UIC</w:t>
      </w:r>
      <w:r w:rsidRPr="00C958ED">
        <w:t>)</w:t>
      </w:r>
    </w:p>
    <w:p w:rsidR="00C958ED" w:rsidRPr="00751AF0" w:rsidRDefault="00C958ED" w:rsidP="00C958ED">
      <w:pPr>
        <w:tabs>
          <w:tab w:val="clear" w:pos="851"/>
          <w:tab w:val="clear" w:pos="1276"/>
          <w:tab w:val="left" w:pos="1843"/>
          <w:tab w:val="left" w:pos="2977"/>
          <w:tab w:val="left" w:pos="4395"/>
        </w:tabs>
        <w:ind w:left="850" w:hanging="425"/>
      </w:pPr>
    </w:p>
    <w:p w:rsidR="00C958ED" w:rsidRPr="00751AF0" w:rsidRDefault="00C958ED" w:rsidP="00C958ED">
      <w:pPr>
        <w:tabs>
          <w:tab w:val="clear" w:pos="851"/>
          <w:tab w:val="clear" w:pos="1276"/>
          <w:tab w:val="left" w:pos="1843"/>
          <w:tab w:val="left" w:pos="2977"/>
          <w:tab w:val="left" w:pos="4395"/>
        </w:tabs>
        <w:ind w:left="850" w:hanging="425"/>
        <w:rPr>
          <w:i/>
        </w:rPr>
      </w:pPr>
      <w:r w:rsidRPr="00751AF0">
        <w:rPr>
          <w:i/>
        </w:rPr>
        <w:t>Informelle Dokumente:</w:t>
      </w:r>
    </w:p>
    <w:p w:rsidR="00C958ED" w:rsidRPr="00751AF0" w:rsidRDefault="00C958ED" w:rsidP="00C958ED">
      <w:pPr>
        <w:widowControl w:val="0"/>
        <w:tabs>
          <w:tab w:val="clear" w:pos="851"/>
          <w:tab w:val="left" w:pos="709"/>
          <w:tab w:val="left" w:pos="1843"/>
        </w:tabs>
        <w:ind w:left="709" w:hanging="284"/>
      </w:pPr>
    </w:p>
    <w:p w:rsidR="00C958ED" w:rsidRPr="00751AF0" w:rsidRDefault="00C958ED" w:rsidP="00C958ED">
      <w:pPr>
        <w:widowControl w:val="0"/>
        <w:tabs>
          <w:tab w:val="clear" w:pos="851"/>
          <w:tab w:val="left" w:pos="709"/>
          <w:tab w:val="left" w:pos="1843"/>
        </w:tabs>
        <w:ind w:left="709" w:hanging="284"/>
      </w:pPr>
      <w:r w:rsidRPr="00751AF0">
        <w:t>–</w:t>
      </w:r>
      <w:r w:rsidRPr="00751AF0">
        <w:tab/>
        <w:t>INF.</w:t>
      </w:r>
      <w:r>
        <w:t>5</w:t>
      </w:r>
      <w:r w:rsidRPr="00751AF0">
        <w:t xml:space="preserve"> (</w:t>
      </w:r>
      <w:r>
        <w:t>UIP</w:t>
      </w:r>
      <w:r w:rsidRPr="00751AF0">
        <w:t>)</w:t>
      </w:r>
    </w:p>
    <w:p w:rsidR="00C958ED" w:rsidRPr="00751AF0" w:rsidRDefault="00C958ED" w:rsidP="00C958ED">
      <w:pPr>
        <w:widowControl w:val="0"/>
        <w:tabs>
          <w:tab w:val="clear" w:pos="851"/>
          <w:tab w:val="left" w:pos="709"/>
          <w:tab w:val="left" w:pos="1843"/>
        </w:tabs>
        <w:ind w:left="709" w:hanging="284"/>
      </w:pPr>
      <w:r w:rsidRPr="00751AF0">
        <w:t>–</w:t>
      </w:r>
      <w:r w:rsidRPr="00751AF0">
        <w:tab/>
        <w:t>INF.</w:t>
      </w:r>
      <w:r>
        <w:t>10</w:t>
      </w:r>
      <w:r w:rsidRPr="00751AF0">
        <w:t xml:space="preserve"> (</w:t>
      </w:r>
      <w:r>
        <w:t>Deutschland</w:t>
      </w:r>
      <w:r w:rsidRPr="00751AF0">
        <w:t>)</w:t>
      </w:r>
    </w:p>
    <w:p w:rsidR="00C958ED" w:rsidRPr="00751AF0" w:rsidRDefault="00C958ED" w:rsidP="00C958ED">
      <w:pPr>
        <w:widowControl w:val="0"/>
        <w:tabs>
          <w:tab w:val="clear" w:pos="851"/>
          <w:tab w:val="left" w:pos="709"/>
          <w:tab w:val="left" w:pos="1843"/>
        </w:tabs>
        <w:ind w:left="709" w:hanging="284"/>
      </w:pPr>
      <w:r w:rsidRPr="00751AF0">
        <w:t>–</w:t>
      </w:r>
      <w:r w:rsidRPr="00751AF0">
        <w:tab/>
        <w:t>INF.</w:t>
      </w:r>
      <w:r>
        <w:t>14</w:t>
      </w:r>
      <w:r w:rsidRPr="00751AF0">
        <w:t xml:space="preserve"> (</w:t>
      </w:r>
      <w:r>
        <w:t>CEN</w:t>
      </w:r>
      <w:r w:rsidRPr="00751AF0">
        <w:t>)</w:t>
      </w:r>
    </w:p>
    <w:p w:rsidR="00C958ED" w:rsidRPr="00751AF0" w:rsidRDefault="00C958ED" w:rsidP="00C958ED">
      <w:pPr>
        <w:widowControl w:val="0"/>
        <w:tabs>
          <w:tab w:val="clear" w:pos="851"/>
          <w:tab w:val="left" w:pos="709"/>
          <w:tab w:val="left" w:pos="1843"/>
        </w:tabs>
        <w:ind w:left="709" w:hanging="284"/>
      </w:pPr>
      <w:r w:rsidRPr="00751AF0">
        <w:lastRenderedPageBreak/>
        <w:t>–</w:t>
      </w:r>
      <w:r w:rsidRPr="00751AF0">
        <w:tab/>
        <w:t>INF.1</w:t>
      </w:r>
      <w:r>
        <w:t>6</w:t>
      </w:r>
      <w:r w:rsidRPr="00751AF0">
        <w:t xml:space="preserve"> (</w:t>
      </w:r>
      <w:r>
        <w:t>ITCO</w:t>
      </w:r>
      <w:r w:rsidRPr="00751AF0">
        <w:t>)</w:t>
      </w:r>
    </w:p>
    <w:p w:rsidR="00C958ED" w:rsidRPr="00751AF0" w:rsidRDefault="00C958ED" w:rsidP="00C958ED">
      <w:pPr>
        <w:widowControl w:val="0"/>
        <w:tabs>
          <w:tab w:val="clear" w:pos="851"/>
          <w:tab w:val="left" w:pos="709"/>
          <w:tab w:val="left" w:pos="1843"/>
        </w:tabs>
        <w:ind w:left="709" w:hanging="284"/>
      </w:pPr>
      <w:r w:rsidRPr="00751AF0">
        <w:t>–</w:t>
      </w:r>
      <w:r w:rsidRPr="00751AF0">
        <w:tab/>
        <w:t>INF.1</w:t>
      </w:r>
      <w:r>
        <w:t>7</w:t>
      </w:r>
      <w:r w:rsidRPr="00751AF0">
        <w:t xml:space="preserve"> (</w:t>
      </w:r>
      <w:r>
        <w:t>Belgien</w:t>
      </w:r>
      <w:r w:rsidRPr="00751AF0">
        <w:t>)</w:t>
      </w:r>
    </w:p>
    <w:p w:rsidR="00C958ED" w:rsidRPr="00751AF0" w:rsidRDefault="00C958ED" w:rsidP="00C958ED">
      <w:pPr>
        <w:widowControl w:val="0"/>
        <w:ind w:left="425" w:hanging="425"/>
      </w:pPr>
    </w:p>
    <w:p w:rsidR="00C958ED" w:rsidRPr="00FD05CA" w:rsidRDefault="00C958ED" w:rsidP="00C958ED">
      <w:pPr>
        <w:widowControl w:val="0"/>
        <w:tabs>
          <w:tab w:val="clear" w:pos="851"/>
          <w:tab w:val="clear" w:pos="1276"/>
          <w:tab w:val="left" w:pos="993"/>
        </w:tabs>
        <w:ind w:left="993" w:hanging="993"/>
        <w:rPr>
          <w:rFonts w:cs="Arial"/>
          <w:b/>
          <w:szCs w:val="22"/>
        </w:rPr>
      </w:pPr>
      <w:r w:rsidRPr="00FD05CA">
        <w:rPr>
          <w:rFonts w:cs="Arial"/>
          <w:b/>
          <w:szCs w:val="22"/>
        </w:rPr>
        <w:t>TOP 1:</w:t>
      </w:r>
      <w:r w:rsidRPr="00FD05CA">
        <w:rPr>
          <w:rFonts w:cs="Arial"/>
          <w:b/>
          <w:szCs w:val="22"/>
        </w:rPr>
        <w:tab/>
      </w:r>
      <w:r>
        <w:rPr>
          <w:b/>
        </w:rPr>
        <w:t>Bericht der Gemeinsamen Tagung im Herbst 2023</w:t>
      </w:r>
    </w:p>
    <w:p w:rsidR="00C958ED" w:rsidRPr="00FD05CA" w:rsidRDefault="00C958ED" w:rsidP="00C958ED">
      <w:pPr>
        <w:tabs>
          <w:tab w:val="clear" w:pos="425"/>
          <w:tab w:val="clear" w:pos="851"/>
          <w:tab w:val="clear" w:pos="1276"/>
          <w:tab w:val="left" w:pos="0"/>
          <w:tab w:val="left" w:pos="1843"/>
          <w:tab w:val="left" w:pos="2977"/>
          <w:tab w:val="left" w:pos="4395"/>
        </w:tabs>
        <w:ind w:left="1276" w:hanging="851"/>
        <w:rPr>
          <w:rFonts w:cs="Arial"/>
          <w:szCs w:val="22"/>
        </w:rPr>
      </w:pPr>
    </w:p>
    <w:p w:rsidR="00C958ED" w:rsidRPr="00C958ED" w:rsidRDefault="00C958ED" w:rsidP="00C958ED">
      <w:pPr>
        <w:tabs>
          <w:tab w:val="clear" w:pos="425"/>
          <w:tab w:val="clear" w:pos="851"/>
          <w:tab w:val="clear" w:pos="1276"/>
          <w:tab w:val="left" w:pos="567"/>
          <w:tab w:val="left" w:pos="993"/>
        </w:tabs>
        <w:ind w:left="2836" w:hanging="2411"/>
        <w:jc w:val="left"/>
        <w:rPr>
          <w:rFonts w:cs="Arial"/>
          <w:szCs w:val="22"/>
          <w:lang w:val="en-US"/>
        </w:rPr>
      </w:pPr>
      <w:proofErr w:type="spellStart"/>
      <w:r w:rsidRPr="00C958ED">
        <w:rPr>
          <w:rFonts w:cs="Arial"/>
          <w:i/>
          <w:szCs w:val="22"/>
          <w:lang w:val="en-US"/>
        </w:rPr>
        <w:t>Dokument</w:t>
      </w:r>
      <w:proofErr w:type="spellEnd"/>
      <w:r w:rsidRPr="00C958ED">
        <w:rPr>
          <w:rFonts w:cs="Arial"/>
          <w:i/>
          <w:szCs w:val="22"/>
          <w:lang w:val="en-US"/>
        </w:rPr>
        <w:t>:</w:t>
      </w:r>
      <w:r w:rsidRPr="00C958ED">
        <w:rPr>
          <w:rFonts w:cs="Arial"/>
          <w:i/>
          <w:szCs w:val="22"/>
          <w:lang w:val="en-US"/>
        </w:rPr>
        <w:tab/>
      </w:r>
      <w:r w:rsidRPr="00C958ED">
        <w:rPr>
          <w:rFonts w:cs="Arial"/>
          <w:szCs w:val="22"/>
          <w:lang w:val="en-US"/>
        </w:rPr>
        <w:t>OTIF/RID/RC/2023-B/Add.</w:t>
      </w:r>
      <w:r>
        <w:rPr>
          <w:rFonts w:cs="Arial"/>
          <w:szCs w:val="22"/>
          <w:lang w:val="en-US"/>
        </w:rPr>
        <w:t>1</w:t>
      </w:r>
      <w:r w:rsidRPr="00C958ED">
        <w:rPr>
          <w:rFonts w:cs="Arial"/>
          <w:szCs w:val="22"/>
          <w:lang w:val="en-US"/>
        </w:rPr>
        <w:t xml:space="preserve"> – ECE/TRANS/WP.15/AC.1/1</w:t>
      </w:r>
      <w:r>
        <w:rPr>
          <w:rFonts w:cs="Arial"/>
          <w:szCs w:val="22"/>
          <w:lang w:val="en-US"/>
        </w:rPr>
        <w:t>70/Add.1</w:t>
      </w:r>
      <w:r w:rsidRPr="00C958ED">
        <w:rPr>
          <w:rFonts w:cs="Arial"/>
          <w:szCs w:val="22"/>
          <w:lang w:val="en-US"/>
        </w:rPr>
        <w:t xml:space="preserve"> (</w:t>
      </w:r>
      <w:proofErr w:type="spellStart"/>
      <w:r w:rsidRPr="00C958ED">
        <w:rPr>
          <w:rFonts w:cs="Arial"/>
          <w:szCs w:val="22"/>
          <w:lang w:val="en-US"/>
        </w:rPr>
        <w:t>Sekretariat</w:t>
      </w:r>
      <w:proofErr w:type="spellEnd"/>
      <w:r w:rsidRPr="00C958ED">
        <w:rPr>
          <w:rFonts w:cs="Arial"/>
          <w:szCs w:val="22"/>
          <w:lang w:val="en-US"/>
        </w:rPr>
        <w:t>)</w:t>
      </w:r>
      <w:r w:rsidR="00F8118E">
        <w:rPr>
          <w:rFonts w:cs="Arial"/>
          <w:szCs w:val="22"/>
          <w:lang w:val="en-US"/>
        </w:rPr>
        <w:t xml:space="preserve">, </w:t>
      </w:r>
      <w:proofErr w:type="spellStart"/>
      <w:r w:rsidR="00F8118E">
        <w:rPr>
          <w:rFonts w:cs="Arial"/>
          <w:szCs w:val="22"/>
          <w:lang w:val="en-US"/>
        </w:rPr>
        <w:t>Antrag</w:t>
      </w:r>
      <w:proofErr w:type="spellEnd"/>
      <w:r w:rsidR="00F8118E">
        <w:rPr>
          <w:rFonts w:cs="Arial"/>
          <w:szCs w:val="22"/>
          <w:lang w:val="en-US"/>
        </w:rPr>
        <w:t xml:space="preserve"> 6</w:t>
      </w:r>
    </w:p>
    <w:p w:rsidR="00C958ED" w:rsidRPr="00C958ED" w:rsidRDefault="00C958ED" w:rsidP="00C958ED">
      <w:pPr>
        <w:tabs>
          <w:tab w:val="clear" w:pos="425"/>
          <w:tab w:val="clear" w:pos="851"/>
          <w:tab w:val="clear" w:pos="1276"/>
          <w:tab w:val="left" w:pos="567"/>
          <w:tab w:val="left" w:pos="993"/>
        </w:tabs>
        <w:ind w:left="567" w:hanging="567"/>
        <w:rPr>
          <w:rFonts w:cs="Arial"/>
          <w:szCs w:val="22"/>
          <w:lang w:val="en-US"/>
        </w:rPr>
      </w:pPr>
    </w:p>
    <w:p w:rsidR="00C958ED" w:rsidRPr="00C958ED" w:rsidRDefault="00C958ED" w:rsidP="00C958ED">
      <w:pPr>
        <w:tabs>
          <w:tab w:val="clear" w:pos="851"/>
          <w:tab w:val="clear" w:pos="1276"/>
          <w:tab w:val="left" w:pos="1843"/>
          <w:tab w:val="left" w:pos="2977"/>
          <w:tab w:val="left" w:pos="4395"/>
        </w:tabs>
        <w:ind w:left="425" w:hanging="425"/>
      </w:pPr>
      <w:r w:rsidRPr="00C958ED">
        <w:t>3.</w:t>
      </w:r>
      <w:r w:rsidRPr="00C958ED">
        <w:tab/>
        <w:t xml:space="preserve">Das Plenum </w:t>
      </w:r>
      <w:r w:rsidR="00156E2C">
        <w:t>hatte entschieden</w:t>
      </w:r>
      <w:r w:rsidRPr="00C958ED">
        <w:t xml:space="preserve">, den Antrag 6 im Bericht der </w:t>
      </w:r>
      <w:r w:rsidR="00156E2C">
        <w:t>Tank-</w:t>
      </w:r>
      <w:r w:rsidRPr="00C958ED">
        <w:t xml:space="preserve">Arbeitsgruppe </w:t>
      </w:r>
      <w:r w:rsidR="00156E2C">
        <w:t>zur weiteren</w:t>
      </w:r>
      <w:r w:rsidRPr="00C958ED">
        <w:t xml:space="preserve"> Prüfung in eckige</w:t>
      </w:r>
      <w:r w:rsidR="00156E2C">
        <w:t>n</w:t>
      </w:r>
      <w:r w:rsidRPr="00C958ED">
        <w:t xml:space="preserve"> Klammern zu </w:t>
      </w:r>
      <w:r w:rsidR="00156E2C">
        <w:t>belassen</w:t>
      </w:r>
      <w:r w:rsidRPr="00C958ED">
        <w:t xml:space="preserve">. Der Antrag basierte auf den Diskussionen zum Dokument </w:t>
      </w:r>
      <w:r w:rsidR="00156E2C">
        <w:t>OTIF/RID/RC</w:t>
      </w:r>
      <w:r w:rsidRPr="00C958ED">
        <w:t xml:space="preserve">/2023/28. Es wurde erörtert, dass die zuständigen Behörden, die keine </w:t>
      </w:r>
      <w:r w:rsidR="00156E2C">
        <w:t>Prüf</w:t>
      </w:r>
      <w:r w:rsidRPr="00C958ED">
        <w:t xml:space="preserve">stellen zugelassen haben, sondern die </w:t>
      </w:r>
      <w:r w:rsidR="00156E2C">
        <w:t>Prüf</w:t>
      </w:r>
      <w:r w:rsidRPr="00C958ED">
        <w:t>aufgaben selbst durchführen, nicht akkreditiert werden müssen. Sie sollte</w:t>
      </w:r>
      <w:r w:rsidR="00F8118E">
        <w:t xml:space="preserve">n jedoch die Liste </w:t>
      </w:r>
      <w:r w:rsidRPr="00C958ED">
        <w:t xml:space="preserve">der Punkte in </w:t>
      </w:r>
      <w:r w:rsidR="00156E2C">
        <w:t>Absatz</w:t>
      </w:r>
      <w:r w:rsidRPr="00C958ED">
        <w:t xml:space="preserve"> 1.8.6.3.1, </w:t>
      </w:r>
      <w:r w:rsidR="00156E2C">
        <w:t>welche</w:t>
      </w:r>
      <w:r w:rsidRPr="00C958ED">
        <w:t xml:space="preserve"> die Hauptanforderunge</w:t>
      </w:r>
      <w:r w:rsidR="00156E2C">
        <w:t>n an die Akkreditierung enthält, erfüllen.</w:t>
      </w:r>
    </w:p>
    <w:p w:rsidR="00156E2C" w:rsidRDefault="00156E2C" w:rsidP="00C958ED">
      <w:pPr>
        <w:tabs>
          <w:tab w:val="clear" w:pos="851"/>
          <w:tab w:val="clear" w:pos="1276"/>
          <w:tab w:val="left" w:pos="1843"/>
          <w:tab w:val="left" w:pos="2977"/>
          <w:tab w:val="left" w:pos="4395"/>
        </w:tabs>
        <w:ind w:left="425" w:hanging="425"/>
      </w:pPr>
    </w:p>
    <w:p w:rsidR="00C958ED" w:rsidRPr="00C958ED" w:rsidRDefault="00C958ED" w:rsidP="00C958ED">
      <w:pPr>
        <w:tabs>
          <w:tab w:val="clear" w:pos="851"/>
          <w:tab w:val="clear" w:pos="1276"/>
          <w:tab w:val="left" w:pos="1843"/>
          <w:tab w:val="left" w:pos="2977"/>
          <w:tab w:val="left" w:pos="4395"/>
        </w:tabs>
        <w:ind w:left="425" w:hanging="425"/>
      </w:pPr>
      <w:r w:rsidRPr="00C958ED">
        <w:t>4.</w:t>
      </w:r>
      <w:r w:rsidRPr="00C958ED">
        <w:tab/>
        <w:t xml:space="preserve">Das Thema </w:t>
      </w:r>
      <w:r w:rsidR="00156E2C">
        <w:t>wird</w:t>
      </w:r>
      <w:r w:rsidRPr="00C958ED">
        <w:t xml:space="preserve"> in der </w:t>
      </w:r>
      <w:r w:rsidR="00156E2C">
        <w:t>Tank-</w:t>
      </w:r>
      <w:r w:rsidRPr="00C958ED">
        <w:t xml:space="preserve">Arbeitsgruppe erneut erörtert. Es ist zu beachten, dass der Abschnitt 1.8.6 nur für Konformitätsbewertungen, wiederkehrende Prüfungen, Zwischenprüfungen, außerordentliche Prüfungen, </w:t>
      </w:r>
      <w:proofErr w:type="spellStart"/>
      <w:r w:rsidRPr="00C958ED">
        <w:t>Inbetriebnahme</w:t>
      </w:r>
      <w:r w:rsidR="00156E2C">
        <w:t>überprüfungen</w:t>
      </w:r>
      <w:proofErr w:type="spellEnd"/>
      <w:r w:rsidRPr="00C958ED">
        <w:t xml:space="preserve"> und Überwachung</w:t>
      </w:r>
      <w:r w:rsidR="00156E2C">
        <w:t>en</w:t>
      </w:r>
      <w:r w:rsidRPr="00C958ED">
        <w:t xml:space="preserve"> der betriebseigenen Prüfdienste gilt. </w:t>
      </w:r>
      <w:r w:rsidR="006C4743" w:rsidRPr="006C4743">
        <w:t>Es sollte auch darauf hingewiesen werden, dass die Akkreditierung staatlicher Stellen mit einigen Problemen verbunden ist</w:t>
      </w:r>
      <w:r w:rsidR="006C4743">
        <w:t xml:space="preserve">. </w:t>
      </w:r>
      <w:r w:rsidRPr="00C958ED">
        <w:t xml:space="preserve">Aus diesem Grund </w:t>
      </w:r>
      <w:r w:rsidR="0061363E">
        <w:t>wurde</w:t>
      </w:r>
      <w:r w:rsidRPr="00C958ED">
        <w:t xml:space="preserve"> die Ausnahme für die Akkreditierung in den letzten Satz des </w:t>
      </w:r>
      <w:r w:rsidR="006C4743">
        <w:t>Absatzes 1.8.6.2.1 mit Verweis auf den Untera</w:t>
      </w:r>
      <w:r w:rsidRPr="00C958ED">
        <w:t>bschnitt 1.8.6.3 aufgenommen, um ein Mindestmaß an Sicherheit in Bezug auf staatliche Stellen zu gewährleisten.</w:t>
      </w:r>
    </w:p>
    <w:p w:rsidR="006C4743" w:rsidRDefault="006C4743" w:rsidP="00C958ED">
      <w:pPr>
        <w:tabs>
          <w:tab w:val="clear" w:pos="851"/>
          <w:tab w:val="clear" w:pos="1276"/>
          <w:tab w:val="left" w:pos="1843"/>
          <w:tab w:val="left" w:pos="2977"/>
          <w:tab w:val="left" w:pos="4395"/>
        </w:tabs>
        <w:ind w:left="425" w:hanging="425"/>
      </w:pPr>
    </w:p>
    <w:p w:rsidR="00C958ED" w:rsidRPr="00C958ED" w:rsidRDefault="00C958ED" w:rsidP="00C958ED">
      <w:pPr>
        <w:tabs>
          <w:tab w:val="clear" w:pos="851"/>
          <w:tab w:val="clear" w:pos="1276"/>
          <w:tab w:val="left" w:pos="1843"/>
          <w:tab w:val="left" w:pos="2977"/>
          <w:tab w:val="left" w:pos="4395"/>
        </w:tabs>
        <w:ind w:left="425" w:hanging="425"/>
      </w:pPr>
      <w:r w:rsidRPr="00C958ED">
        <w:t>5.</w:t>
      </w:r>
      <w:r w:rsidRPr="00C958ED">
        <w:tab/>
      </w:r>
      <w:r w:rsidR="006C4743">
        <w:t>Im Rahmen der Diskussion</w:t>
      </w:r>
      <w:r w:rsidRPr="00C958ED">
        <w:t xml:space="preserve"> </w:t>
      </w:r>
      <w:r w:rsidR="006C4743">
        <w:t>wird</w:t>
      </w:r>
      <w:r w:rsidRPr="00C958ED">
        <w:t xml:space="preserve"> die Auffassung vertreten, dass die technischen Dienste innerhalb der zuständigen Behörde, die die Tätigkeiten der zugelassenen </w:t>
      </w:r>
      <w:r w:rsidR="006C4743">
        <w:t>Prüf</w:t>
      </w:r>
      <w:r w:rsidRPr="00C958ED">
        <w:t xml:space="preserve">stellen ausüben, eine Akkreditierung benötigen. Es </w:t>
      </w:r>
      <w:r w:rsidR="00F8118E">
        <w:t>wird auch erwähnt</w:t>
      </w:r>
      <w:r w:rsidRPr="00C958ED">
        <w:t xml:space="preserve">, dass die Benennung von Stellen, die als zuständige Behörde fungieren, ein Schlupfloch für </w:t>
      </w:r>
      <w:r w:rsidR="006C4743">
        <w:t>Prüf</w:t>
      </w:r>
      <w:r w:rsidRPr="00C958ED">
        <w:t xml:space="preserve">stellen schaffen könnte, die nicht akkreditiert werden. </w:t>
      </w:r>
      <w:r w:rsidR="00D03B5B" w:rsidRPr="00D03B5B">
        <w:t xml:space="preserve">Um diese Lücke zu schließen, wird der Antrag 6 zu </w:t>
      </w:r>
      <w:r w:rsidR="00D03B5B">
        <w:t>Absatz</w:t>
      </w:r>
      <w:r w:rsidR="00D03B5B" w:rsidRPr="00D03B5B">
        <w:t xml:space="preserve"> 1.8.6.2.1 </w:t>
      </w:r>
      <w:r w:rsidR="00D03B5B">
        <w:t>im</w:t>
      </w:r>
      <w:r w:rsidR="00D03B5B" w:rsidRPr="00D03B5B">
        <w:t xml:space="preserve"> Bericht der </w:t>
      </w:r>
      <w:r w:rsidR="00D03B5B">
        <w:t>Tank-</w:t>
      </w:r>
      <w:r w:rsidR="00D03B5B" w:rsidRPr="00D03B5B">
        <w:t xml:space="preserve">Arbeitsgruppe der Herbsttagung 2023 geändert. Der ursprüngliche Antrag zu </w:t>
      </w:r>
      <w:r w:rsidR="00D03B5B">
        <w:t>Absatz 1.8.6.3.1</w:t>
      </w:r>
      <w:r w:rsidR="00D03B5B" w:rsidRPr="00D03B5B">
        <w:t xml:space="preserve"> in eckigen Klammern kann unverändert bleiben.</w:t>
      </w:r>
    </w:p>
    <w:p w:rsidR="00A94AC1" w:rsidRDefault="00A94AC1" w:rsidP="00B126ED">
      <w:pPr>
        <w:tabs>
          <w:tab w:val="clear" w:pos="1276"/>
          <w:tab w:val="left" w:pos="1418"/>
          <w:tab w:val="left" w:pos="2977"/>
          <w:tab w:val="left" w:pos="4395"/>
        </w:tabs>
      </w:pPr>
    </w:p>
    <w:p w:rsidR="00D03B5B" w:rsidRDefault="00D03B5B" w:rsidP="00D03B5B">
      <w:pPr>
        <w:tabs>
          <w:tab w:val="clear" w:pos="425"/>
          <w:tab w:val="clear" w:pos="851"/>
          <w:tab w:val="clear" w:pos="1276"/>
          <w:tab w:val="left" w:pos="1418"/>
        </w:tabs>
        <w:ind w:left="425"/>
        <w:rPr>
          <w:rFonts w:cs="Arial"/>
          <w:b/>
          <w:szCs w:val="22"/>
        </w:rPr>
      </w:pPr>
      <w:r>
        <w:rPr>
          <w:rFonts w:cs="Arial"/>
          <w:b/>
          <w:szCs w:val="22"/>
        </w:rPr>
        <w:t>Antrag 1 (für die Ausgabe 2025 des RID/ADR)</w:t>
      </w:r>
    </w:p>
    <w:p w:rsidR="00D03B5B" w:rsidRDefault="00D03B5B" w:rsidP="00D03B5B">
      <w:pPr>
        <w:tabs>
          <w:tab w:val="clear" w:pos="425"/>
          <w:tab w:val="clear" w:pos="851"/>
          <w:tab w:val="clear" w:pos="1276"/>
          <w:tab w:val="left" w:pos="1418"/>
        </w:tabs>
        <w:ind w:left="425"/>
      </w:pPr>
    </w:p>
    <w:p w:rsidR="00D03B5B" w:rsidRPr="001D5C0C" w:rsidRDefault="00D03B5B" w:rsidP="00EE22B8">
      <w:pPr>
        <w:tabs>
          <w:tab w:val="clear" w:pos="1276"/>
          <w:tab w:val="left" w:pos="1701"/>
          <w:tab w:val="left" w:pos="2977"/>
          <w:tab w:val="left" w:pos="4395"/>
        </w:tabs>
        <w:ind w:left="1701" w:hanging="1276"/>
      </w:pPr>
      <w:r w:rsidRPr="001D5C0C">
        <w:rPr>
          <w:b/>
        </w:rPr>
        <w:t>1.8.6.2.1</w:t>
      </w:r>
      <w:r w:rsidRPr="001D5C0C">
        <w:tab/>
      </w:r>
      <w:r>
        <w:t>Der letzte</w:t>
      </w:r>
      <w:r w:rsidRPr="001D5C0C">
        <w:t xml:space="preserve"> Satz </w:t>
      </w:r>
      <w:r>
        <w:t xml:space="preserve">erhält folgenden Wortlaut (neuer Wortlaut ist </w:t>
      </w:r>
      <w:r w:rsidR="00221DE7">
        <w:t>unterstrichen</w:t>
      </w:r>
      <w:r>
        <w:t>, gestrichener Wortlaut durchgestrichen dargestellt)</w:t>
      </w:r>
      <w:r w:rsidRPr="001D5C0C">
        <w:t>:</w:t>
      </w:r>
    </w:p>
    <w:p w:rsidR="00D03B5B" w:rsidRPr="001D5C0C" w:rsidRDefault="00D03B5B" w:rsidP="00EE22B8">
      <w:pPr>
        <w:tabs>
          <w:tab w:val="clear" w:pos="425"/>
          <w:tab w:val="clear" w:pos="851"/>
          <w:tab w:val="clear" w:pos="1276"/>
          <w:tab w:val="left" w:pos="1418"/>
        </w:tabs>
        <w:ind w:left="1701"/>
      </w:pPr>
    </w:p>
    <w:p w:rsidR="00D03B5B" w:rsidRPr="001D5C0C" w:rsidRDefault="00D03B5B" w:rsidP="00EE22B8">
      <w:pPr>
        <w:tabs>
          <w:tab w:val="clear" w:pos="425"/>
          <w:tab w:val="clear" w:pos="851"/>
          <w:tab w:val="clear" w:pos="1276"/>
          <w:tab w:val="left" w:pos="1418"/>
        </w:tabs>
        <w:ind w:left="1701"/>
      </w:pPr>
      <w:r w:rsidRPr="001D5C0C">
        <w:t>"</w:t>
      </w:r>
      <w:r w:rsidRPr="00011EE3">
        <w:t xml:space="preserve">Wenn die zuständige Behörde </w:t>
      </w:r>
      <w:r w:rsidRPr="00D03B5B">
        <w:rPr>
          <w:strike/>
        </w:rPr>
        <w:t xml:space="preserve">keine Prüfstellen zulässt, </w:t>
      </w:r>
      <w:r w:rsidRPr="00D03B5B">
        <w:rPr>
          <w:b/>
          <w:strike/>
        </w:rPr>
        <w:t xml:space="preserve">anerkennt oder </w:t>
      </w:r>
      <w:proofErr w:type="gramStart"/>
      <w:r w:rsidRPr="00D03B5B">
        <w:rPr>
          <w:b/>
          <w:strike/>
        </w:rPr>
        <w:t>benennt</w:t>
      </w:r>
      <w:proofErr w:type="gramEnd"/>
      <w:r w:rsidRPr="00D03B5B">
        <w:rPr>
          <w:strike/>
        </w:rPr>
        <w:t xml:space="preserve"> sondern</w:t>
      </w:r>
      <w:r w:rsidRPr="00011EE3">
        <w:t xml:space="preserve"> diese Aufgaben selbst durchführt, muss sie</w:t>
      </w:r>
      <w:r>
        <w:t xml:space="preserve"> d</w:t>
      </w:r>
      <w:r w:rsidRPr="00011EE3">
        <w:t>ie Vorschriften des Unterabschnitts 1.8.6.3 erfüllen.</w:t>
      </w:r>
      <w:r>
        <w:t xml:space="preserve"> </w:t>
      </w:r>
      <w:r w:rsidR="00221DE7" w:rsidRPr="00221DE7">
        <w:rPr>
          <w:u w:val="single"/>
        </w:rPr>
        <w:t>Wenn jedoch eine zuständige Behörde eine Prüfstelle benennt, um als zuständige Behörde zu handeln, muss die benannte Stelle nach der Norm EN ISO/IEC 17020:2012 (ausgenommen Absatz 8.1.3) Typ A akkreditiert sein.</w:t>
      </w:r>
      <w:r>
        <w:t>"</w:t>
      </w:r>
    </w:p>
    <w:p w:rsidR="00D03B5B" w:rsidRDefault="00D03B5B" w:rsidP="00D03B5B">
      <w:pPr>
        <w:tabs>
          <w:tab w:val="clear" w:pos="425"/>
          <w:tab w:val="clear" w:pos="851"/>
          <w:tab w:val="clear" w:pos="1276"/>
          <w:tab w:val="left" w:pos="1418"/>
        </w:tabs>
        <w:ind w:left="425"/>
        <w:rPr>
          <w:rFonts w:cs="Arial"/>
          <w:szCs w:val="22"/>
        </w:rPr>
      </w:pPr>
    </w:p>
    <w:p w:rsidR="00D03B5B" w:rsidRPr="001D5C0C" w:rsidRDefault="00D03B5B" w:rsidP="00EE22B8">
      <w:pPr>
        <w:tabs>
          <w:tab w:val="clear" w:pos="1276"/>
          <w:tab w:val="left" w:pos="1701"/>
          <w:tab w:val="left" w:pos="2977"/>
          <w:tab w:val="left" w:pos="4395"/>
        </w:tabs>
        <w:ind w:left="1701" w:hanging="1276"/>
      </w:pPr>
      <w:r w:rsidRPr="001D5C0C">
        <w:rPr>
          <w:b/>
        </w:rPr>
        <w:t>1.8.6.3.1</w:t>
      </w:r>
      <w:r w:rsidRPr="001D5C0C">
        <w:tab/>
        <w:t>Der letzte Satz erhält folgenden Wortlaut:</w:t>
      </w:r>
    </w:p>
    <w:p w:rsidR="00D03B5B" w:rsidRPr="001D5C0C" w:rsidRDefault="00D03B5B" w:rsidP="00EE22B8">
      <w:pPr>
        <w:tabs>
          <w:tab w:val="clear" w:pos="425"/>
          <w:tab w:val="clear" w:pos="851"/>
          <w:tab w:val="clear" w:pos="1276"/>
          <w:tab w:val="left" w:pos="1418"/>
        </w:tabs>
        <w:ind w:left="1701"/>
      </w:pPr>
    </w:p>
    <w:p w:rsidR="00D03B5B" w:rsidRDefault="00D03B5B" w:rsidP="00EE22B8">
      <w:pPr>
        <w:tabs>
          <w:tab w:val="clear" w:pos="425"/>
          <w:tab w:val="clear" w:pos="851"/>
          <w:tab w:val="clear" w:pos="1276"/>
          <w:tab w:val="left" w:pos="1418"/>
        </w:tabs>
        <w:ind w:left="1701"/>
      </w:pPr>
      <w:r w:rsidRPr="001D5C0C">
        <w:t>"Die oben genannten Vorschriften gelten bei einer Akkreditierung nach der Norm EN ISO/IEC 17020:2012 (ausgenommen Absatz 8.1.3) als erfüllt."</w:t>
      </w:r>
    </w:p>
    <w:p w:rsidR="00221DE7" w:rsidRPr="00751AF0" w:rsidRDefault="00221DE7" w:rsidP="00221DE7">
      <w:pPr>
        <w:widowControl w:val="0"/>
        <w:ind w:left="425" w:hanging="425"/>
      </w:pPr>
    </w:p>
    <w:p w:rsidR="003447FA" w:rsidRDefault="003447FA">
      <w:pPr>
        <w:tabs>
          <w:tab w:val="clear" w:pos="425"/>
          <w:tab w:val="clear" w:pos="851"/>
          <w:tab w:val="clear" w:pos="1276"/>
        </w:tabs>
        <w:jc w:val="left"/>
        <w:rPr>
          <w:rFonts w:cs="Arial"/>
          <w:b/>
          <w:szCs w:val="22"/>
        </w:rPr>
      </w:pPr>
      <w:r>
        <w:rPr>
          <w:rFonts w:cs="Arial"/>
          <w:b/>
          <w:szCs w:val="22"/>
        </w:rPr>
        <w:br w:type="page"/>
      </w:r>
    </w:p>
    <w:p w:rsidR="00221DE7" w:rsidRPr="00FD05CA" w:rsidRDefault="00221DE7" w:rsidP="00221DE7">
      <w:pPr>
        <w:widowControl w:val="0"/>
        <w:tabs>
          <w:tab w:val="clear" w:pos="851"/>
          <w:tab w:val="clear" w:pos="1276"/>
          <w:tab w:val="left" w:pos="993"/>
        </w:tabs>
        <w:ind w:left="993" w:hanging="993"/>
        <w:rPr>
          <w:rFonts w:cs="Arial"/>
          <w:b/>
          <w:szCs w:val="22"/>
        </w:rPr>
      </w:pPr>
      <w:r w:rsidRPr="00FD05CA">
        <w:rPr>
          <w:rFonts w:cs="Arial"/>
          <w:b/>
          <w:szCs w:val="22"/>
        </w:rPr>
        <w:t xml:space="preserve">TOP </w:t>
      </w:r>
      <w:r>
        <w:rPr>
          <w:rFonts w:cs="Arial"/>
          <w:b/>
          <w:szCs w:val="22"/>
        </w:rPr>
        <w:t>2</w:t>
      </w:r>
      <w:r w:rsidRPr="00FD05CA">
        <w:rPr>
          <w:rFonts w:cs="Arial"/>
          <w:b/>
          <w:szCs w:val="22"/>
        </w:rPr>
        <w:t>:</w:t>
      </w:r>
      <w:r w:rsidRPr="00FD05CA">
        <w:rPr>
          <w:rFonts w:cs="Arial"/>
          <w:b/>
          <w:szCs w:val="22"/>
        </w:rPr>
        <w:tab/>
      </w:r>
      <w:r w:rsidR="00922FF6" w:rsidRPr="00922FF6">
        <w:rPr>
          <w:b/>
          <w:bCs/>
        </w:rPr>
        <w:t>Prüfung von Tanks, bei denen das festgelegte Datum für die Zwischenprüfung verstrichen ist</w:t>
      </w:r>
    </w:p>
    <w:p w:rsidR="00221DE7" w:rsidRPr="00FD05CA" w:rsidRDefault="00221DE7" w:rsidP="00221DE7">
      <w:pPr>
        <w:tabs>
          <w:tab w:val="clear" w:pos="425"/>
          <w:tab w:val="clear" w:pos="851"/>
          <w:tab w:val="clear" w:pos="1276"/>
          <w:tab w:val="left" w:pos="0"/>
          <w:tab w:val="left" w:pos="1843"/>
          <w:tab w:val="left" w:pos="2977"/>
          <w:tab w:val="left" w:pos="4395"/>
        </w:tabs>
        <w:ind w:left="1276" w:hanging="851"/>
        <w:rPr>
          <w:rFonts w:cs="Arial"/>
          <w:szCs w:val="22"/>
        </w:rPr>
      </w:pPr>
    </w:p>
    <w:p w:rsidR="00221DE7" w:rsidRPr="00922FF6" w:rsidRDefault="00221DE7" w:rsidP="00221DE7">
      <w:pPr>
        <w:tabs>
          <w:tab w:val="clear" w:pos="425"/>
          <w:tab w:val="clear" w:pos="851"/>
          <w:tab w:val="clear" w:pos="1276"/>
          <w:tab w:val="left" w:pos="567"/>
          <w:tab w:val="left" w:pos="993"/>
        </w:tabs>
        <w:ind w:left="2836" w:hanging="2411"/>
        <w:jc w:val="left"/>
        <w:rPr>
          <w:rFonts w:cs="Arial"/>
          <w:szCs w:val="22"/>
        </w:rPr>
      </w:pPr>
      <w:r w:rsidRPr="00922FF6">
        <w:rPr>
          <w:rFonts w:cs="Arial"/>
          <w:i/>
          <w:szCs w:val="22"/>
        </w:rPr>
        <w:t>Dokument:</w:t>
      </w:r>
      <w:r w:rsidRPr="00922FF6">
        <w:rPr>
          <w:rFonts w:cs="Arial"/>
          <w:i/>
          <w:szCs w:val="22"/>
        </w:rPr>
        <w:tab/>
      </w:r>
      <w:r w:rsidRPr="00922FF6">
        <w:rPr>
          <w:rFonts w:cs="Arial"/>
          <w:szCs w:val="22"/>
        </w:rPr>
        <w:t>OTIF/RID/RC/202</w:t>
      </w:r>
      <w:r w:rsidR="00922FF6" w:rsidRPr="00922FF6">
        <w:rPr>
          <w:rFonts w:cs="Arial"/>
          <w:szCs w:val="22"/>
        </w:rPr>
        <w:t>4/</w:t>
      </w:r>
      <w:r w:rsidRPr="00922FF6">
        <w:rPr>
          <w:rFonts w:cs="Arial"/>
          <w:szCs w:val="22"/>
        </w:rPr>
        <w:t>1 (</w:t>
      </w:r>
      <w:r w:rsidR="00922FF6" w:rsidRPr="00922FF6">
        <w:rPr>
          <w:rFonts w:cs="Arial"/>
          <w:szCs w:val="22"/>
        </w:rPr>
        <w:t>UIP</w:t>
      </w:r>
      <w:r w:rsidRPr="00922FF6">
        <w:rPr>
          <w:rFonts w:cs="Arial"/>
          <w:szCs w:val="22"/>
        </w:rPr>
        <w:t>)</w:t>
      </w:r>
    </w:p>
    <w:p w:rsidR="00221DE7" w:rsidRPr="00922FF6" w:rsidRDefault="00221DE7" w:rsidP="00D03B5B">
      <w:pPr>
        <w:tabs>
          <w:tab w:val="clear" w:pos="425"/>
          <w:tab w:val="clear" w:pos="851"/>
          <w:tab w:val="clear" w:pos="1276"/>
          <w:tab w:val="left" w:pos="1418"/>
        </w:tabs>
      </w:pPr>
    </w:p>
    <w:p w:rsidR="00922FF6" w:rsidRPr="00922FF6" w:rsidRDefault="00922FF6" w:rsidP="00922FF6">
      <w:pPr>
        <w:tabs>
          <w:tab w:val="clear" w:pos="1276"/>
          <w:tab w:val="left" w:pos="1418"/>
          <w:tab w:val="left" w:pos="2977"/>
          <w:tab w:val="left" w:pos="4395"/>
        </w:tabs>
        <w:ind w:left="425" w:hanging="425"/>
      </w:pPr>
      <w:r w:rsidRPr="00922FF6">
        <w:t>6.</w:t>
      </w:r>
      <w:r w:rsidRPr="00922FF6">
        <w:tab/>
        <w:t xml:space="preserve">Das Dokument basiert auf früheren Diskussionen zum </w:t>
      </w:r>
      <w:r>
        <w:t xml:space="preserve">informellen Dokument </w:t>
      </w:r>
      <w:r w:rsidRPr="00922FF6">
        <w:t>INF</w:t>
      </w:r>
      <w:r>
        <w:t>.</w:t>
      </w:r>
      <w:r w:rsidRPr="00922FF6">
        <w:t>19 der Gemeinsamen Tagung</w:t>
      </w:r>
      <w:r>
        <w:t xml:space="preserve"> im Herbst 2023</w:t>
      </w:r>
      <w:r w:rsidRPr="00922FF6">
        <w:t>, bei de</w:t>
      </w:r>
      <w:r>
        <w:t>r</w:t>
      </w:r>
      <w:r w:rsidRPr="00922FF6">
        <w:t xml:space="preserve"> vereinbart wurde, dass eine Zwischenpr</w:t>
      </w:r>
      <w:r>
        <w:t>üfung erforderlich ist, wenn das</w:t>
      </w:r>
      <w:r w:rsidRPr="00922FF6">
        <w:t xml:space="preserve"> festgelegte </w:t>
      </w:r>
      <w:r>
        <w:t>Datum</w:t>
      </w:r>
      <w:r w:rsidRPr="00922FF6">
        <w:t xml:space="preserve"> für eine solche Prüfung </w:t>
      </w:r>
      <w:r>
        <w:t>überschritten worden</w:t>
      </w:r>
      <w:r w:rsidRPr="00922FF6">
        <w:t xml:space="preserve"> ist. </w:t>
      </w:r>
      <w:r>
        <w:lastRenderedPageBreak/>
        <w:t>Abhängig von dem</w:t>
      </w:r>
      <w:r w:rsidRPr="00922FF6">
        <w:t xml:space="preserve"> Zeitraum, </w:t>
      </w:r>
      <w:r>
        <w:t>den</w:t>
      </w:r>
      <w:r w:rsidRPr="00922FF6">
        <w:t xml:space="preserve"> die </w:t>
      </w:r>
      <w:r>
        <w:t>Prüfung</w:t>
      </w:r>
      <w:r w:rsidRPr="00922FF6">
        <w:t xml:space="preserve"> überfällig ist, kann der Eigentümer/Betreiber jedoch beschließen, eine Zwischen</w:t>
      </w:r>
      <w:r>
        <w:t>prüfung</w:t>
      </w:r>
      <w:r w:rsidRPr="00922FF6">
        <w:t xml:space="preserve"> oder eine wiederkehrende </w:t>
      </w:r>
      <w:r>
        <w:t>Prüfung</w:t>
      </w:r>
      <w:r w:rsidRPr="00922FF6">
        <w:t xml:space="preserve"> durchführen zu lassen. Um Fehlinterpretationen zu vermeiden, wird eine zusätzliche Formulierung vorgeschlagen.</w:t>
      </w:r>
    </w:p>
    <w:p w:rsidR="00922FF6" w:rsidRDefault="00922FF6" w:rsidP="00922FF6">
      <w:pPr>
        <w:tabs>
          <w:tab w:val="clear" w:pos="1276"/>
          <w:tab w:val="left" w:pos="1418"/>
          <w:tab w:val="left" w:pos="2977"/>
          <w:tab w:val="left" w:pos="4395"/>
        </w:tabs>
      </w:pPr>
    </w:p>
    <w:p w:rsidR="00D03B5B" w:rsidRPr="00922FF6" w:rsidRDefault="00922FF6" w:rsidP="00922FF6">
      <w:pPr>
        <w:tabs>
          <w:tab w:val="clear" w:pos="1276"/>
          <w:tab w:val="left" w:pos="1418"/>
          <w:tab w:val="left" w:pos="2977"/>
          <w:tab w:val="left" w:pos="4395"/>
        </w:tabs>
        <w:ind w:left="425" w:hanging="425"/>
      </w:pPr>
      <w:r w:rsidRPr="00922FF6">
        <w:t>7.</w:t>
      </w:r>
      <w:r w:rsidRPr="00922FF6">
        <w:tab/>
        <w:t xml:space="preserve">In der Diskussion </w:t>
      </w:r>
      <w:r>
        <w:t>wird</w:t>
      </w:r>
      <w:r w:rsidRPr="00922FF6">
        <w:t xml:space="preserve"> der Vorschlag wie nachstehend darge</w:t>
      </w:r>
      <w:r>
        <w:t>stellt</w:t>
      </w:r>
      <w:r w:rsidRPr="00922FF6">
        <w:t xml:space="preserve"> geändert. Es </w:t>
      </w:r>
      <w:r>
        <w:t>wird</w:t>
      </w:r>
      <w:r w:rsidRPr="00922FF6">
        <w:t xml:space="preserve"> die Auffassung vertreten, da</w:t>
      </w:r>
      <w:r>
        <w:t>ss</w:t>
      </w:r>
      <w:r w:rsidRPr="00922FF6">
        <w:t xml:space="preserve"> es besser wäre, zu sagen, </w:t>
      </w:r>
      <w:r>
        <w:t>dass</w:t>
      </w:r>
      <w:r w:rsidRPr="00922FF6">
        <w:t xml:space="preserve"> das angegebene Datum "</w:t>
      </w:r>
      <w:r>
        <w:t>überschritten</w:t>
      </w:r>
      <w:r w:rsidRPr="00922FF6">
        <w:t xml:space="preserve">" ist, anstatt </w:t>
      </w:r>
      <w:r>
        <w:t xml:space="preserve">die Begriffe </w:t>
      </w:r>
      <w:r w:rsidRPr="00922FF6">
        <w:t xml:space="preserve">"überfällig" oder "abgelaufen" zu </w:t>
      </w:r>
      <w:r>
        <w:t>verwenden</w:t>
      </w:r>
      <w:r w:rsidRPr="00922FF6">
        <w:t xml:space="preserve">. Dies </w:t>
      </w:r>
      <w:r>
        <w:t>wird</w:t>
      </w:r>
      <w:r w:rsidRPr="00922FF6">
        <w:t xml:space="preserve"> daher in den Vorschlag aufgenommen. Das Wort "</w:t>
      </w:r>
      <w:r>
        <w:t>überschritten</w:t>
      </w:r>
      <w:r w:rsidRPr="00922FF6">
        <w:t>" könnte auch an andere</w:t>
      </w:r>
      <w:r w:rsidR="0061363E">
        <w:t>n</w:t>
      </w:r>
      <w:r w:rsidRPr="00922FF6">
        <w:t xml:space="preserve"> Stelle</w:t>
      </w:r>
      <w:r w:rsidR="0061363E">
        <w:t>n</w:t>
      </w:r>
      <w:r w:rsidRPr="00922FF6">
        <w:t xml:space="preserve"> verwendet werden, eine Überprüfung der Folgeänderungen </w:t>
      </w:r>
      <w:r w:rsidR="00A80400">
        <w:t>zeigt jedoch</w:t>
      </w:r>
      <w:r w:rsidRPr="00922FF6">
        <w:t xml:space="preserve">, dass dies </w:t>
      </w:r>
      <w:r w:rsidR="00A80400">
        <w:t xml:space="preserve">eine </w:t>
      </w:r>
      <w:r w:rsidRPr="00922FF6">
        <w:t>komplex</w:t>
      </w:r>
      <w:r w:rsidR="00A80400">
        <w:t>e Arbeit darstellt</w:t>
      </w:r>
      <w:r w:rsidRPr="00922FF6">
        <w:t xml:space="preserve"> und als künftige Arbeit betrachtet werden sollte.</w:t>
      </w:r>
    </w:p>
    <w:p w:rsidR="00A80400" w:rsidRDefault="00A80400" w:rsidP="00A80400">
      <w:pPr>
        <w:tabs>
          <w:tab w:val="clear" w:pos="1276"/>
          <w:tab w:val="left" w:pos="1418"/>
          <w:tab w:val="left" w:pos="2977"/>
          <w:tab w:val="left" w:pos="4395"/>
        </w:tabs>
      </w:pPr>
    </w:p>
    <w:p w:rsidR="00A80400" w:rsidRDefault="00A80400" w:rsidP="00A80400">
      <w:pPr>
        <w:tabs>
          <w:tab w:val="clear" w:pos="425"/>
          <w:tab w:val="clear" w:pos="851"/>
          <w:tab w:val="clear" w:pos="1276"/>
          <w:tab w:val="left" w:pos="1418"/>
        </w:tabs>
        <w:ind w:left="425"/>
        <w:rPr>
          <w:rFonts w:cs="Arial"/>
          <w:b/>
          <w:szCs w:val="22"/>
        </w:rPr>
      </w:pPr>
      <w:r>
        <w:rPr>
          <w:rFonts w:cs="Arial"/>
          <w:b/>
          <w:szCs w:val="22"/>
        </w:rPr>
        <w:t>Antrag 2 (für die Ausgabe 2025 des RID/ADR)</w:t>
      </w:r>
    </w:p>
    <w:p w:rsidR="00A80400" w:rsidRDefault="00A80400" w:rsidP="00A80400">
      <w:pPr>
        <w:tabs>
          <w:tab w:val="clear" w:pos="425"/>
          <w:tab w:val="clear" w:pos="851"/>
          <w:tab w:val="clear" w:pos="1276"/>
          <w:tab w:val="left" w:pos="1418"/>
        </w:tabs>
        <w:ind w:left="425"/>
      </w:pPr>
    </w:p>
    <w:p w:rsidR="00A80400" w:rsidRDefault="00A80400" w:rsidP="00EE22B8">
      <w:pPr>
        <w:tabs>
          <w:tab w:val="clear" w:pos="1276"/>
          <w:tab w:val="left" w:pos="1701"/>
          <w:tab w:val="left" w:pos="2977"/>
          <w:tab w:val="left" w:pos="4395"/>
        </w:tabs>
        <w:ind w:left="1701" w:hanging="1276"/>
      </w:pPr>
      <w:r w:rsidRPr="00A80400">
        <w:rPr>
          <w:b/>
        </w:rPr>
        <w:t>6.8.2.4.3</w:t>
      </w:r>
      <w:r>
        <w:tab/>
        <w:t>Einen neuen dritten Unterabsatz einfügen:</w:t>
      </w:r>
    </w:p>
    <w:p w:rsidR="00A80400" w:rsidRDefault="00A80400" w:rsidP="00EE22B8">
      <w:pPr>
        <w:tabs>
          <w:tab w:val="clear" w:pos="425"/>
          <w:tab w:val="clear" w:pos="851"/>
          <w:tab w:val="clear" w:pos="1276"/>
          <w:tab w:val="left" w:pos="1418"/>
        </w:tabs>
        <w:ind w:left="1701"/>
      </w:pPr>
    </w:p>
    <w:p w:rsidR="00A80400" w:rsidRDefault="00A80400" w:rsidP="00EE22B8">
      <w:pPr>
        <w:tabs>
          <w:tab w:val="clear" w:pos="1276"/>
          <w:tab w:val="left" w:pos="1418"/>
          <w:tab w:val="left" w:pos="2977"/>
          <w:tab w:val="left" w:pos="4395"/>
        </w:tabs>
        <w:ind w:left="1701"/>
      </w:pPr>
      <w:r>
        <w:t>"</w:t>
      </w:r>
      <w:r w:rsidRPr="005429E3">
        <w:t xml:space="preserve">Wenn </w:t>
      </w:r>
      <w:r>
        <w:t>das für die</w:t>
      </w:r>
      <w:r w:rsidRPr="005429E3">
        <w:t xml:space="preserve"> Zwischenprüfung </w:t>
      </w:r>
      <w:r>
        <w:t>festgelegte</w:t>
      </w:r>
      <w:r w:rsidRPr="005429E3">
        <w:t xml:space="preserve"> Datum </w:t>
      </w:r>
      <w:r>
        <w:t>überschritten wurde</w:t>
      </w:r>
      <w:r w:rsidRPr="005429E3">
        <w:t xml:space="preserve">, muss eine Zwischenprüfung </w:t>
      </w:r>
      <w:r>
        <w:t xml:space="preserve">durchgeführt werden </w:t>
      </w:r>
      <w:r w:rsidRPr="005429E3">
        <w:t>oder es darf alternativ eine wiederkehrende Prüfung nach Absatz 6.8.2.4.2 durchgeführt werden.</w:t>
      </w:r>
      <w:r w:rsidR="000B2636">
        <w:t>"</w:t>
      </w:r>
    </w:p>
    <w:p w:rsidR="00A80400" w:rsidRPr="00751AF0" w:rsidRDefault="00A80400" w:rsidP="00A80400">
      <w:pPr>
        <w:widowControl w:val="0"/>
        <w:ind w:left="425" w:hanging="425"/>
      </w:pPr>
    </w:p>
    <w:p w:rsidR="00A80400" w:rsidRDefault="00A80400" w:rsidP="00A80400">
      <w:pPr>
        <w:widowControl w:val="0"/>
        <w:tabs>
          <w:tab w:val="clear" w:pos="851"/>
          <w:tab w:val="clear" w:pos="1276"/>
          <w:tab w:val="left" w:pos="993"/>
        </w:tabs>
        <w:ind w:left="993" w:hanging="993"/>
      </w:pPr>
      <w:r w:rsidRPr="00FD05CA">
        <w:rPr>
          <w:rFonts w:cs="Arial"/>
          <w:b/>
          <w:szCs w:val="22"/>
        </w:rPr>
        <w:t xml:space="preserve">TOP </w:t>
      </w:r>
      <w:r>
        <w:rPr>
          <w:rFonts w:cs="Arial"/>
          <w:b/>
          <w:szCs w:val="22"/>
        </w:rPr>
        <w:t>3</w:t>
      </w:r>
      <w:r w:rsidRPr="00FD05CA">
        <w:rPr>
          <w:rFonts w:cs="Arial"/>
          <w:b/>
          <w:szCs w:val="22"/>
        </w:rPr>
        <w:t>:</w:t>
      </w:r>
      <w:r w:rsidRPr="00FD05CA">
        <w:rPr>
          <w:rFonts w:cs="Arial"/>
          <w:b/>
          <w:szCs w:val="22"/>
        </w:rPr>
        <w:tab/>
      </w:r>
      <w:r w:rsidRPr="00A80400">
        <w:rPr>
          <w:b/>
        </w:rPr>
        <w:t>Befüllen von Gascontainern mit mehreren Elementen (MEGC)</w:t>
      </w:r>
    </w:p>
    <w:p w:rsidR="000B2636" w:rsidRPr="00FD05CA" w:rsidRDefault="000B2636" w:rsidP="000B2636">
      <w:pPr>
        <w:tabs>
          <w:tab w:val="clear" w:pos="425"/>
          <w:tab w:val="clear" w:pos="851"/>
          <w:tab w:val="clear" w:pos="1276"/>
          <w:tab w:val="left" w:pos="0"/>
          <w:tab w:val="left" w:pos="1843"/>
          <w:tab w:val="left" w:pos="2977"/>
          <w:tab w:val="left" w:pos="4395"/>
        </w:tabs>
        <w:ind w:left="1276" w:hanging="851"/>
        <w:rPr>
          <w:rFonts w:cs="Arial"/>
          <w:szCs w:val="22"/>
        </w:rPr>
      </w:pPr>
    </w:p>
    <w:p w:rsidR="000B2636" w:rsidRPr="00922FF6" w:rsidRDefault="000B2636" w:rsidP="000B2636">
      <w:pPr>
        <w:tabs>
          <w:tab w:val="clear" w:pos="425"/>
          <w:tab w:val="clear" w:pos="851"/>
          <w:tab w:val="clear" w:pos="1276"/>
          <w:tab w:val="left" w:pos="567"/>
          <w:tab w:val="left" w:pos="993"/>
        </w:tabs>
        <w:ind w:left="2836" w:hanging="2411"/>
        <w:jc w:val="left"/>
        <w:rPr>
          <w:rFonts w:cs="Arial"/>
          <w:szCs w:val="22"/>
        </w:rPr>
      </w:pPr>
      <w:r w:rsidRPr="00922FF6">
        <w:rPr>
          <w:rFonts w:cs="Arial"/>
          <w:i/>
          <w:szCs w:val="22"/>
        </w:rPr>
        <w:t>Dokument:</w:t>
      </w:r>
      <w:r w:rsidRPr="00922FF6">
        <w:rPr>
          <w:rFonts w:cs="Arial"/>
          <w:i/>
          <w:szCs w:val="22"/>
        </w:rPr>
        <w:tab/>
      </w:r>
      <w:r w:rsidRPr="00922FF6">
        <w:rPr>
          <w:rFonts w:cs="Arial"/>
          <w:szCs w:val="22"/>
        </w:rPr>
        <w:t>OTIF/RID/RC/2024/</w:t>
      </w:r>
      <w:r>
        <w:rPr>
          <w:rFonts w:cs="Arial"/>
          <w:szCs w:val="22"/>
        </w:rPr>
        <w:t>2</w:t>
      </w:r>
      <w:r w:rsidRPr="00922FF6">
        <w:rPr>
          <w:rFonts w:cs="Arial"/>
          <w:szCs w:val="22"/>
        </w:rPr>
        <w:t xml:space="preserve"> (</w:t>
      </w:r>
      <w:r>
        <w:rPr>
          <w:rFonts w:cs="Arial"/>
          <w:szCs w:val="22"/>
        </w:rPr>
        <w:t>Spanien</w:t>
      </w:r>
      <w:r w:rsidRPr="00922FF6">
        <w:rPr>
          <w:rFonts w:cs="Arial"/>
          <w:szCs w:val="22"/>
        </w:rPr>
        <w:t>)</w:t>
      </w:r>
    </w:p>
    <w:p w:rsidR="000B2636" w:rsidRDefault="000B2636" w:rsidP="000B2636">
      <w:pPr>
        <w:tabs>
          <w:tab w:val="clear" w:pos="425"/>
          <w:tab w:val="clear" w:pos="851"/>
          <w:tab w:val="clear" w:pos="1276"/>
          <w:tab w:val="left" w:pos="1418"/>
        </w:tabs>
      </w:pPr>
    </w:p>
    <w:p w:rsidR="000B2636" w:rsidRPr="00922FF6" w:rsidRDefault="000B2636" w:rsidP="000B2636">
      <w:pPr>
        <w:tabs>
          <w:tab w:val="clear" w:pos="1276"/>
          <w:tab w:val="left" w:pos="1418"/>
          <w:tab w:val="left" w:pos="2977"/>
          <w:tab w:val="left" w:pos="4395"/>
        </w:tabs>
        <w:ind w:left="425" w:hanging="425"/>
      </w:pPr>
      <w:r w:rsidRPr="000B2636">
        <w:t>8.</w:t>
      </w:r>
      <w:r w:rsidRPr="000B2636">
        <w:tab/>
        <w:t xml:space="preserve">Der Vorschlag Spaniens </w:t>
      </w:r>
      <w:r>
        <w:t>besteht</w:t>
      </w:r>
      <w:r w:rsidRPr="000B2636">
        <w:t xml:space="preserve"> darin, die </w:t>
      </w:r>
      <w:r>
        <w:t>Vorschriften</w:t>
      </w:r>
      <w:r w:rsidRPr="000B2636">
        <w:t xml:space="preserve"> für das </w:t>
      </w:r>
      <w:r>
        <w:t>Be</w:t>
      </w:r>
      <w:r w:rsidRPr="000B2636">
        <w:t>füllen von MEGC in Kapitel 4.3 zu verbessern</w:t>
      </w:r>
      <w:r>
        <w:t xml:space="preserve"> und den</w:t>
      </w:r>
      <w:r w:rsidRPr="000B2636">
        <w:t xml:space="preserve"> Wortlaut, der bereits in den </w:t>
      </w:r>
      <w:r>
        <w:t>Absätzen</w:t>
      </w:r>
      <w:r w:rsidRPr="000B2636">
        <w:t xml:space="preserve"> 4.2.4.5.1 bis 4.2.4.5.3 enthalten </w:t>
      </w:r>
      <w:r>
        <w:t>ist</w:t>
      </w:r>
      <w:r w:rsidRPr="000B2636">
        <w:t xml:space="preserve">, </w:t>
      </w:r>
      <w:r>
        <w:t>zu übernehmen</w:t>
      </w:r>
      <w:r w:rsidRPr="000B2636">
        <w:t xml:space="preserve">. Die Alternative 2 des Vorschlags </w:t>
      </w:r>
      <w:r>
        <w:t>wird</w:t>
      </w:r>
      <w:r w:rsidRPr="000B2636">
        <w:t xml:space="preserve"> grundsätzlich befürwortet. Es wird jedoch die Ansicht vertreten, dass </w:t>
      </w:r>
      <w:r>
        <w:t>der</w:t>
      </w:r>
      <w:r w:rsidRPr="000B2636">
        <w:t xml:space="preserve"> </w:t>
      </w:r>
      <w:r>
        <w:t xml:space="preserve">Textvorschlag an das </w:t>
      </w:r>
      <w:r w:rsidRPr="000B2636">
        <w:t xml:space="preserve">Kapitel 4.3 </w:t>
      </w:r>
      <w:r>
        <w:t xml:space="preserve">angepasst werden sollte und für das RID </w:t>
      </w:r>
      <w:r w:rsidRPr="000B2636">
        <w:t xml:space="preserve">auch Batteriewagen und </w:t>
      </w:r>
      <w:r>
        <w:t xml:space="preserve">für das ADR auch </w:t>
      </w:r>
      <w:r w:rsidRPr="000B2636">
        <w:t>Batterie-Fahrzeuge aufgenommen werden sollten.</w:t>
      </w:r>
    </w:p>
    <w:p w:rsidR="00C327D4" w:rsidRDefault="00C327D4" w:rsidP="00C327D4">
      <w:pPr>
        <w:tabs>
          <w:tab w:val="clear" w:pos="1276"/>
          <w:tab w:val="left" w:pos="1418"/>
          <w:tab w:val="left" w:pos="2977"/>
          <w:tab w:val="left" w:pos="4395"/>
        </w:tabs>
      </w:pPr>
    </w:p>
    <w:p w:rsidR="00C327D4" w:rsidRDefault="00C327D4" w:rsidP="00C327D4">
      <w:pPr>
        <w:tabs>
          <w:tab w:val="clear" w:pos="425"/>
          <w:tab w:val="clear" w:pos="851"/>
          <w:tab w:val="clear" w:pos="1276"/>
          <w:tab w:val="left" w:pos="1418"/>
        </w:tabs>
        <w:ind w:left="425"/>
        <w:rPr>
          <w:rFonts w:cs="Arial"/>
          <w:b/>
          <w:szCs w:val="22"/>
        </w:rPr>
      </w:pPr>
      <w:r>
        <w:rPr>
          <w:rFonts w:cs="Arial"/>
          <w:b/>
          <w:szCs w:val="22"/>
        </w:rPr>
        <w:t>Antrag 3</w:t>
      </w:r>
    </w:p>
    <w:p w:rsidR="00C327D4" w:rsidRDefault="00C327D4" w:rsidP="00C327D4">
      <w:pPr>
        <w:tabs>
          <w:tab w:val="clear" w:pos="425"/>
          <w:tab w:val="clear" w:pos="851"/>
          <w:tab w:val="clear" w:pos="1276"/>
          <w:tab w:val="left" w:pos="1418"/>
        </w:tabs>
        <w:ind w:left="425"/>
      </w:pPr>
    </w:p>
    <w:p w:rsidR="00C327D4" w:rsidRDefault="00C327D4" w:rsidP="00EE22B8">
      <w:pPr>
        <w:tabs>
          <w:tab w:val="clear" w:pos="1276"/>
          <w:tab w:val="left" w:pos="1701"/>
          <w:tab w:val="left" w:pos="2977"/>
          <w:tab w:val="left" w:pos="4395"/>
        </w:tabs>
        <w:ind w:left="1701" w:hanging="1276"/>
      </w:pPr>
      <w:r>
        <w:rPr>
          <w:b/>
        </w:rPr>
        <w:t>4.3.3.2</w:t>
      </w:r>
      <w:r>
        <w:tab/>
        <w:t xml:space="preserve">Einen neuen Absatz </w:t>
      </w:r>
      <w:r w:rsidRPr="00C327D4">
        <w:rPr>
          <w:b/>
        </w:rPr>
        <w:t>4.3.3.2.5</w:t>
      </w:r>
      <w:r>
        <w:t xml:space="preserve"> einfügen:</w:t>
      </w:r>
    </w:p>
    <w:p w:rsidR="00C327D4" w:rsidRDefault="00C327D4" w:rsidP="00C327D4">
      <w:pPr>
        <w:tabs>
          <w:tab w:val="clear" w:pos="425"/>
          <w:tab w:val="clear" w:pos="851"/>
          <w:tab w:val="clear" w:pos="1276"/>
          <w:tab w:val="left" w:pos="1418"/>
        </w:tabs>
        <w:ind w:left="425"/>
      </w:pPr>
    </w:p>
    <w:p w:rsidR="00C327D4" w:rsidRDefault="00C327D4" w:rsidP="00EE22B8">
      <w:pPr>
        <w:tabs>
          <w:tab w:val="clear" w:pos="1276"/>
          <w:tab w:val="left" w:pos="1701"/>
          <w:tab w:val="left" w:pos="2977"/>
          <w:tab w:val="left" w:pos="4395"/>
        </w:tabs>
        <w:ind w:left="1701" w:hanging="1276"/>
      </w:pPr>
      <w:r>
        <w:t>"</w:t>
      </w:r>
      <w:r>
        <w:rPr>
          <w:b/>
        </w:rPr>
        <w:t>4.3.3.2.5</w:t>
      </w:r>
      <w:r>
        <w:tab/>
      </w:r>
      <w:r w:rsidRPr="00967B91">
        <w:t xml:space="preserve">Vor dem Befüllen </w:t>
      </w:r>
      <w:r>
        <w:t>sind die Batteriewagen/Batterie-Fahrzeuge und</w:t>
      </w:r>
      <w:r w:rsidRPr="00967B91">
        <w:t xml:space="preserve"> MEGC zu prüfen, um sicherzustellen, dass </w:t>
      </w:r>
      <w:r>
        <w:t>sie</w:t>
      </w:r>
      <w:r w:rsidRPr="00967B91">
        <w:t xml:space="preserve"> für das zu befördernde Gas zugelassen </w:t>
      </w:r>
      <w:r>
        <w:t>sind</w:t>
      </w:r>
      <w:r w:rsidRPr="00967B91">
        <w:t xml:space="preserve"> und die anwendbaren Vorschriften des RID</w:t>
      </w:r>
      <w:r>
        <w:t>/ADR</w:t>
      </w:r>
      <w:r w:rsidRPr="00967B91">
        <w:t xml:space="preserve"> eingehalten sind.</w:t>
      </w:r>
      <w:r>
        <w:t xml:space="preserve"> </w:t>
      </w:r>
      <w:r w:rsidRPr="00967B91">
        <w:t xml:space="preserve">Die Elemente der </w:t>
      </w:r>
      <w:r>
        <w:t xml:space="preserve">Batteriewagen/Batterie-Fahrzeuge </w:t>
      </w:r>
      <w:r w:rsidR="0075222A">
        <w:t>oder</w:t>
      </w:r>
      <w:r w:rsidRPr="00967B91">
        <w:t xml:space="preserve"> MEGC</w:t>
      </w:r>
      <w:r>
        <w:t xml:space="preserve">, die Druckgefäße sind, </w:t>
      </w:r>
      <w:r w:rsidRPr="00967B91">
        <w:t>sind entsprechend den Betriebsdrücken, Füll</w:t>
      </w:r>
      <w:r>
        <w:t>faktoren</w:t>
      </w:r>
      <w:r w:rsidRPr="00967B91">
        <w:t xml:space="preserve"> und </w:t>
      </w:r>
      <w:proofErr w:type="spellStart"/>
      <w:r w:rsidRPr="00967B91">
        <w:t>Befüllungsvorschriften</w:t>
      </w:r>
      <w:proofErr w:type="spellEnd"/>
      <w:r w:rsidRPr="00967B91">
        <w:t xml:space="preserve"> zu befüllen, die in Unterabschnitt 4.1.4.1 Verpackungsanweisung P 200 für das in die einzelnen Elemente zu </w:t>
      </w:r>
      <w:proofErr w:type="spellStart"/>
      <w:r w:rsidRPr="00967B91">
        <w:t>befüllende</w:t>
      </w:r>
      <w:proofErr w:type="spellEnd"/>
      <w:r w:rsidRPr="00967B91">
        <w:t xml:space="preserve"> Gas festgelegt sind. </w:t>
      </w:r>
      <w:r>
        <w:t xml:space="preserve">Batteriewagen/Batterie-Fahrzeuge und </w:t>
      </w:r>
      <w:r w:rsidRPr="00967B91">
        <w:t xml:space="preserve">MEGC oder eine Gruppe von Elementen </w:t>
      </w:r>
      <w:r>
        <w:t>dürfen</w:t>
      </w:r>
      <w:r w:rsidRPr="00967B91">
        <w:t xml:space="preserve"> als Einheit in keinem Fall über den niedrigsten </w:t>
      </w:r>
      <w:r>
        <w:t xml:space="preserve">höchsten </w:t>
      </w:r>
      <w:r w:rsidR="0075222A">
        <w:t>Füll</w:t>
      </w:r>
      <w:r w:rsidRPr="00967B91">
        <w:t xml:space="preserve">druck </w:t>
      </w:r>
      <w:r w:rsidR="0075222A">
        <w:t xml:space="preserve">oder die niedrigste höchste Füllmenge </w:t>
      </w:r>
      <w:r w:rsidRPr="00967B91">
        <w:t>irgendeines der Elemente hinaus befüllt werden.</w:t>
      </w:r>
      <w:r>
        <w:t xml:space="preserve"> </w:t>
      </w:r>
      <w:r w:rsidRPr="00967B91">
        <w:t xml:space="preserve">Die </w:t>
      </w:r>
      <w:r w:rsidR="0075222A">
        <w:t xml:space="preserve">Batteriewagen/Batterie-Fahrzeuge und </w:t>
      </w:r>
      <w:r w:rsidRPr="00967B91">
        <w:t xml:space="preserve">MEGC dürfen nicht über </w:t>
      </w:r>
      <w:r w:rsidR="0075222A">
        <w:t>die</w:t>
      </w:r>
      <w:r w:rsidRPr="00967B91">
        <w:t xml:space="preserve"> </w:t>
      </w:r>
      <w:r w:rsidR="0075222A">
        <w:t xml:space="preserve">anwendbaren </w:t>
      </w:r>
      <w:r w:rsidRPr="00967B91">
        <w:t>zulässige</w:t>
      </w:r>
      <w:r w:rsidR="0075222A">
        <w:t>n</w:t>
      </w:r>
      <w:r w:rsidRPr="00967B91">
        <w:t xml:space="preserve"> </w:t>
      </w:r>
      <w:r w:rsidR="0075222A">
        <w:t>Massen</w:t>
      </w:r>
      <w:r w:rsidRPr="00967B91">
        <w:t xml:space="preserve"> befüllt werden.</w:t>
      </w:r>
      <w:r>
        <w:t>"</w:t>
      </w:r>
    </w:p>
    <w:p w:rsidR="00F51996" w:rsidRDefault="00F51996" w:rsidP="00C327D4">
      <w:pPr>
        <w:tabs>
          <w:tab w:val="clear" w:pos="425"/>
          <w:tab w:val="clear" w:pos="851"/>
          <w:tab w:val="clear" w:pos="1276"/>
          <w:tab w:val="left" w:pos="1418"/>
        </w:tabs>
        <w:ind w:left="1418" w:hanging="993"/>
      </w:pPr>
    </w:p>
    <w:p w:rsidR="00F51996" w:rsidRPr="00C327D4" w:rsidRDefault="00F51996" w:rsidP="00EE22B8">
      <w:pPr>
        <w:tabs>
          <w:tab w:val="clear" w:pos="425"/>
          <w:tab w:val="clear" w:pos="851"/>
          <w:tab w:val="clear" w:pos="1276"/>
          <w:tab w:val="left" w:pos="1418"/>
        </w:tabs>
        <w:ind w:left="2694" w:hanging="993"/>
      </w:pPr>
      <w:r>
        <w:t>Der bisherige Absatz 4.3.3.2.5 wird zu Absatz 4.3.3.2.6.</w:t>
      </w:r>
    </w:p>
    <w:p w:rsidR="00C327D4" w:rsidRDefault="00C327D4" w:rsidP="00C327D4">
      <w:pPr>
        <w:tabs>
          <w:tab w:val="clear" w:pos="425"/>
          <w:tab w:val="clear" w:pos="851"/>
          <w:tab w:val="clear" w:pos="1276"/>
          <w:tab w:val="left" w:pos="1418"/>
        </w:tabs>
        <w:ind w:left="425"/>
      </w:pPr>
    </w:p>
    <w:p w:rsidR="00F51996" w:rsidRPr="00F51996" w:rsidRDefault="00F51996" w:rsidP="00F51996">
      <w:pPr>
        <w:tabs>
          <w:tab w:val="clear" w:pos="1276"/>
          <w:tab w:val="left" w:pos="1418"/>
          <w:tab w:val="left" w:pos="2977"/>
          <w:tab w:val="left" w:pos="4395"/>
        </w:tabs>
        <w:ind w:left="425"/>
      </w:pPr>
      <w:r w:rsidRPr="00F51996">
        <w:t>Folgeänderungen</w:t>
      </w:r>
      <w:r>
        <w:t>:</w:t>
      </w:r>
    </w:p>
    <w:p w:rsidR="00F51996" w:rsidRPr="0010788E" w:rsidRDefault="00F51996" w:rsidP="00F51996">
      <w:pPr>
        <w:tabs>
          <w:tab w:val="clear" w:pos="1276"/>
          <w:tab w:val="left" w:pos="1418"/>
          <w:tab w:val="left" w:pos="2977"/>
          <w:tab w:val="left" w:pos="4395"/>
        </w:tabs>
      </w:pPr>
    </w:p>
    <w:p w:rsidR="00F51996" w:rsidRDefault="00F51996" w:rsidP="00EE22B8">
      <w:pPr>
        <w:tabs>
          <w:tab w:val="clear" w:pos="1276"/>
          <w:tab w:val="left" w:pos="1701"/>
          <w:tab w:val="left" w:pos="2977"/>
          <w:tab w:val="left" w:pos="4395"/>
        </w:tabs>
        <w:ind w:left="1701" w:hanging="1276"/>
      </w:pPr>
      <w:r>
        <w:rPr>
          <w:b/>
        </w:rPr>
        <w:t>4.3.3.1.1</w:t>
      </w:r>
      <w:r>
        <w:tab/>
        <w:t>In der Tabelle, in der Zeile "2 Berechnungsdruck", in der Spalte "Tankcodierung", in der Erläuterung zu "x" "Absatz 4.3.3.2.5" ändern in:</w:t>
      </w:r>
    </w:p>
    <w:p w:rsidR="00F51996" w:rsidRDefault="00F51996" w:rsidP="00EE22B8">
      <w:pPr>
        <w:tabs>
          <w:tab w:val="clear" w:pos="1276"/>
          <w:tab w:val="left" w:pos="1701"/>
          <w:tab w:val="left" w:pos="2977"/>
          <w:tab w:val="left" w:pos="4395"/>
        </w:tabs>
        <w:ind w:left="3402" w:hanging="1701"/>
      </w:pPr>
    </w:p>
    <w:p w:rsidR="00F51996" w:rsidRDefault="00F51996" w:rsidP="00EE22B8">
      <w:pPr>
        <w:tabs>
          <w:tab w:val="clear" w:pos="1276"/>
          <w:tab w:val="left" w:pos="1701"/>
          <w:tab w:val="left" w:pos="2977"/>
          <w:tab w:val="left" w:pos="4395"/>
        </w:tabs>
        <w:ind w:left="3402" w:hanging="1701"/>
      </w:pPr>
      <w:r>
        <w:t>"Absatz 4.3.3.2.6".</w:t>
      </w:r>
    </w:p>
    <w:p w:rsidR="00F51996" w:rsidRDefault="00F51996" w:rsidP="00F51996">
      <w:pPr>
        <w:tabs>
          <w:tab w:val="clear" w:pos="1276"/>
          <w:tab w:val="left" w:pos="1701"/>
          <w:tab w:val="left" w:pos="2977"/>
          <w:tab w:val="left" w:pos="4395"/>
        </w:tabs>
        <w:ind w:left="2126" w:hanging="1701"/>
      </w:pPr>
    </w:p>
    <w:p w:rsidR="00F51996" w:rsidRDefault="00F51996" w:rsidP="00EE22B8">
      <w:pPr>
        <w:tabs>
          <w:tab w:val="clear" w:pos="1276"/>
          <w:tab w:val="left" w:pos="1701"/>
          <w:tab w:val="left" w:pos="2977"/>
          <w:tab w:val="left" w:pos="4395"/>
        </w:tabs>
        <w:ind w:left="1701" w:hanging="1276"/>
      </w:pPr>
      <w:r>
        <w:rPr>
          <w:b/>
        </w:rPr>
        <w:t>6.8.2.4.1</w:t>
      </w:r>
      <w:r>
        <w:tab/>
        <w:t>Im Satz nach der Tabelle "Absatz 4.3.2.2.5" ändern in:</w:t>
      </w:r>
    </w:p>
    <w:p w:rsidR="00F51996" w:rsidRDefault="00F51996" w:rsidP="00EE22B8">
      <w:pPr>
        <w:tabs>
          <w:tab w:val="clear" w:pos="1276"/>
          <w:tab w:val="left" w:pos="1701"/>
          <w:tab w:val="left" w:pos="2977"/>
          <w:tab w:val="left" w:pos="4395"/>
        </w:tabs>
        <w:ind w:left="3402" w:hanging="1701"/>
      </w:pPr>
    </w:p>
    <w:p w:rsidR="00F51996" w:rsidRDefault="00F51996" w:rsidP="00EE22B8">
      <w:pPr>
        <w:tabs>
          <w:tab w:val="clear" w:pos="1276"/>
          <w:tab w:val="left" w:pos="1701"/>
          <w:tab w:val="left" w:pos="2977"/>
          <w:tab w:val="left" w:pos="4395"/>
        </w:tabs>
        <w:ind w:left="3402" w:hanging="1701"/>
      </w:pPr>
      <w:r>
        <w:t>"Absatz 4.3.3.2.6".</w:t>
      </w:r>
    </w:p>
    <w:p w:rsidR="00F51996" w:rsidRDefault="00F51996" w:rsidP="00F51996">
      <w:pPr>
        <w:tabs>
          <w:tab w:val="clear" w:pos="1276"/>
          <w:tab w:val="left" w:pos="1701"/>
          <w:tab w:val="left" w:pos="2977"/>
          <w:tab w:val="left" w:pos="4395"/>
        </w:tabs>
        <w:ind w:left="2126" w:hanging="1701"/>
      </w:pPr>
    </w:p>
    <w:p w:rsidR="00F51996" w:rsidRDefault="00F51996" w:rsidP="00EE22B8">
      <w:pPr>
        <w:tabs>
          <w:tab w:val="clear" w:pos="1276"/>
          <w:tab w:val="left" w:pos="1701"/>
          <w:tab w:val="left" w:pos="2977"/>
          <w:tab w:val="left" w:pos="4395"/>
        </w:tabs>
        <w:ind w:left="1701" w:hanging="1276"/>
      </w:pPr>
      <w:r>
        <w:rPr>
          <w:b/>
        </w:rPr>
        <w:t>6.8.3.4.2</w:t>
      </w:r>
      <w:r>
        <w:tab/>
        <w:t>"Absatz 4.3.232.5" ändern in:</w:t>
      </w:r>
    </w:p>
    <w:p w:rsidR="00F51996" w:rsidRDefault="00F51996" w:rsidP="00EE22B8">
      <w:pPr>
        <w:tabs>
          <w:tab w:val="clear" w:pos="1276"/>
          <w:tab w:val="left" w:pos="1701"/>
          <w:tab w:val="left" w:pos="2977"/>
          <w:tab w:val="left" w:pos="4395"/>
        </w:tabs>
        <w:ind w:left="3402" w:hanging="1701"/>
      </w:pPr>
    </w:p>
    <w:p w:rsidR="00F51996" w:rsidRDefault="00F51996" w:rsidP="00EE22B8">
      <w:pPr>
        <w:tabs>
          <w:tab w:val="clear" w:pos="1276"/>
          <w:tab w:val="left" w:pos="1701"/>
          <w:tab w:val="left" w:pos="2977"/>
          <w:tab w:val="left" w:pos="4395"/>
        </w:tabs>
        <w:ind w:left="3402" w:hanging="1701"/>
      </w:pPr>
      <w:r>
        <w:t>"Absatz 4.3.3.2.6".</w:t>
      </w:r>
    </w:p>
    <w:p w:rsidR="00F51996" w:rsidRPr="00751AF0" w:rsidRDefault="00F51996" w:rsidP="00F51996">
      <w:pPr>
        <w:widowControl w:val="0"/>
        <w:ind w:left="425" w:hanging="425"/>
      </w:pPr>
    </w:p>
    <w:p w:rsidR="00F51996" w:rsidRDefault="00F51996" w:rsidP="00F51996">
      <w:pPr>
        <w:widowControl w:val="0"/>
        <w:tabs>
          <w:tab w:val="clear" w:pos="851"/>
          <w:tab w:val="clear" w:pos="1276"/>
          <w:tab w:val="left" w:pos="993"/>
        </w:tabs>
        <w:ind w:left="993" w:hanging="993"/>
      </w:pPr>
      <w:r w:rsidRPr="00FD05CA">
        <w:rPr>
          <w:rFonts w:cs="Arial"/>
          <w:b/>
          <w:szCs w:val="22"/>
        </w:rPr>
        <w:t xml:space="preserve">TOP </w:t>
      </w:r>
      <w:r>
        <w:rPr>
          <w:rFonts w:cs="Arial"/>
          <w:b/>
          <w:szCs w:val="22"/>
        </w:rPr>
        <w:t>4</w:t>
      </w:r>
      <w:r w:rsidRPr="00FD05CA">
        <w:rPr>
          <w:rFonts w:cs="Arial"/>
          <w:b/>
          <w:szCs w:val="22"/>
        </w:rPr>
        <w:t>:</w:t>
      </w:r>
      <w:r w:rsidRPr="00F51996">
        <w:rPr>
          <w:rFonts w:cs="Arial"/>
          <w:b/>
          <w:szCs w:val="22"/>
        </w:rPr>
        <w:tab/>
      </w:r>
      <w:r w:rsidRPr="00F51996">
        <w:rPr>
          <w:b/>
        </w:rPr>
        <w:t>Änderung des Absatzes 6.8.2.1.27 RID/ADR und des Abschnitts 7.5.10 ADR</w:t>
      </w:r>
    </w:p>
    <w:p w:rsidR="00F51996" w:rsidRPr="00FD05CA" w:rsidRDefault="00F51996" w:rsidP="00F51996">
      <w:pPr>
        <w:tabs>
          <w:tab w:val="clear" w:pos="425"/>
          <w:tab w:val="clear" w:pos="851"/>
          <w:tab w:val="clear" w:pos="1276"/>
          <w:tab w:val="left" w:pos="0"/>
          <w:tab w:val="left" w:pos="1843"/>
          <w:tab w:val="left" w:pos="2977"/>
          <w:tab w:val="left" w:pos="4395"/>
        </w:tabs>
        <w:ind w:left="1276" w:hanging="851"/>
        <w:rPr>
          <w:rFonts w:cs="Arial"/>
          <w:szCs w:val="22"/>
        </w:rPr>
      </w:pPr>
    </w:p>
    <w:p w:rsidR="00F51996" w:rsidRPr="00922FF6" w:rsidRDefault="00F51996" w:rsidP="00F51996">
      <w:pPr>
        <w:tabs>
          <w:tab w:val="clear" w:pos="425"/>
          <w:tab w:val="clear" w:pos="851"/>
          <w:tab w:val="clear" w:pos="1276"/>
          <w:tab w:val="left" w:pos="567"/>
          <w:tab w:val="left" w:pos="993"/>
        </w:tabs>
        <w:ind w:left="2836" w:hanging="2411"/>
        <w:jc w:val="left"/>
        <w:rPr>
          <w:rFonts w:cs="Arial"/>
          <w:szCs w:val="22"/>
        </w:rPr>
      </w:pPr>
      <w:r w:rsidRPr="00922FF6">
        <w:rPr>
          <w:rFonts w:cs="Arial"/>
          <w:i/>
          <w:szCs w:val="22"/>
        </w:rPr>
        <w:t>Dokument:</w:t>
      </w:r>
      <w:r w:rsidRPr="00922FF6">
        <w:rPr>
          <w:rFonts w:cs="Arial"/>
          <w:i/>
          <w:szCs w:val="22"/>
        </w:rPr>
        <w:tab/>
      </w:r>
      <w:r w:rsidRPr="00922FF6">
        <w:rPr>
          <w:rFonts w:cs="Arial"/>
          <w:szCs w:val="22"/>
        </w:rPr>
        <w:t>OTIF/RID/RC/2024/</w:t>
      </w:r>
      <w:r>
        <w:rPr>
          <w:rFonts w:cs="Arial"/>
          <w:szCs w:val="22"/>
        </w:rPr>
        <w:t>5</w:t>
      </w:r>
      <w:r w:rsidRPr="00922FF6">
        <w:rPr>
          <w:rFonts w:cs="Arial"/>
          <w:szCs w:val="22"/>
        </w:rPr>
        <w:t xml:space="preserve"> (</w:t>
      </w:r>
      <w:r>
        <w:rPr>
          <w:rFonts w:cs="Arial"/>
          <w:szCs w:val="22"/>
        </w:rPr>
        <w:t>Russische Föderation</w:t>
      </w:r>
      <w:r w:rsidRPr="00922FF6">
        <w:rPr>
          <w:rFonts w:cs="Arial"/>
          <w:szCs w:val="22"/>
        </w:rPr>
        <w:t>)</w:t>
      </w:r>
    </w:p>
    <w:p w:rsidR="00F51996" w:rsidRDefault="00F51996" w:rsidP="00F51996">
      <w:pPr>
        <w:tabs>
          <w:tab w:val="clear" w:pos="425"/>
          <w:tab w:val="clear" w:pos="851"/>
          <w:tab w:val="clear" w:pos="1276"/>
          <w:tab w:val="left" w:pos="1418"/>
        </w:tabs>
      </w:pPr>
    </w:p>
    <w:p w:rsidR="00F51996" w:rsidRDefault="00F51996" w:rsidP="00F51996">
      <w:pPr>
        <w:tabs>
          <w:tab w:val="clear" w:pos="1276"/>
          <w:tab w:val="left" w:pos="1418"/>
          <w:tab w:val="left" w:pos="2977"/>
          <w:tab w:val="left" w:pos="4395"/>
        </w:tabs>
        <w:ind w:left="425" w:hanging="425"/>
      </w:pPr>
      <w:r>
        <w:t>9.</w:t>
      </w:r>
      <w:r>
        <w:tab/>
        <w:t>In dem Dokument wird vorgeschlagen, in den Absatz 6.8.2.1.27 und in den Abschnitt 7.5.10 zusätzlich zur UN-Nummer 1361 die UN-Nummer 3190 aufzunehmen. In diesen Vorschriften werden zusätzliche Anforderungen für die Beförderung von Ruß festgelegt.</w:t>
      </w:r>
    </w:p>
    <w:p w:rsidR="00F51996" w:rsidRDefault="00F51996" w:rsidP="00F51996">
      <w:pPr>
        <w:tabs>
          <w:tab w:val="clear" w:pos="1276"/>
          <w:tab w:val="left" w:pos="1418"/>
          <w:tab w:val="left" w:pos="2977"/>
          <w:tab w:val="left" w:pos="4395"/>
        </w:tabs>
      </w:pPr>
    </w:p>
    <w:p w:rsidR="00F51996" w:rsidRDefault="00F51996" w:rsidP="00F51996">
      <w:pPr>
        <w:tabs>
          <w:tab w:val="clear" w:pos="1276"/>
          <w:tab w:val="left" w:pos="1418"/>
          <w:tab w:val="left" w:pos="2977"/>
          <w:tab w:val="left" w:pos="4395"/>
        </w:tabs>
        <w:ind w:left="425" w:hanging="425"/>
      </w:pPr>
      <w:r>
        <w:t>10.</w:t>
      </w:r>
      <w:r>
        <w:tab/>
        <w:t>In der Einleitung des Dokuments wird argumentiert, dass die Hinzufügung der UN-Nummer 3190 erforderlich ist, da sie mit der Herstellung des Rußes</w:t>
      </w:r>
      <w:r w:rsidR="00A53395">
        <w:t>, dessen Ursprung Kohlenwasserstoffgas ist,</w:t>
      </w:r>
      <w:r>
        <w:t xml:space="preserve"> zusammenhängt.</w:t>
      </w:r>
    </w:p>
    <w:p w:rsidR="00A53395" w:rsidRDefault="00A53395" w:rsidP="00F51996">
      <w:pPr>
        <w:tabs>
          <w:tab w:val="clear" w:pos="1276"/>
          <w:tab w:val="left" w:pos="1418"/>
          <w:tab w:val="left" w:pos="2977"/>
          <w:tab w:val="left" w:pos="4395"/>
        </w:tabs>
      </w:pPr>
    </w:p>
    <w:p w:rsidR="00F51996" w:rsidRDefault="00A53395" w:rsidP="00A53395">
      <w:pPr>
        <w:tabs>
          <w:tab w:val="clear" w:pos="1276"/>
          <w:tab w:val="left" w:pos="1418"/>
          <w:tab w:val="left" w:pos="2977"/>
          <w:tab w:val="left" w:pos="4395"/>
        </w:tabs>
        <w:ind w:left="425" w:hanging="425"/>
      </w:pPr>
      <w:r>
        <w:t>11.</w:t>
      </w:r>
      <w:r>
        <w:tab/>
        <w:t>Da UN </w:t>
      </w:r>
      <w:r w:rsidR="00F51996">
        <w:t xml:space="preserve">3190 der </w:t>
      </w:r>
      <w:r>
        <w:t>K</w:t>
      </w:r>
      <w:r w:rsidR="00F51996">
        <w:t xml:space="preserve">lasse 4.2 </w:t>
      </w:r>
      <w:r>
        <w:t xml:space="preserve">Klassifizierungscode </w:t>
      </w:r>
      <w:r w:rsidR="00F51996">
        <w:t xml:space="preserve">"S4 - anorganisch, fest" zugeordnet ist, </w:t>
      </w:r>
      <w:r>
        <w:t>wird</w:t>
      </w:r>
      <w:r w:rsidR="00F51996">
        <w:t xml:space="preserve"> in Frage gestellt, ob diese Zuordnung gerechtfertigt ist, da Kohlenstoff als "organisch" angesehen wird. Als Alternative sollte die Ä</w:t>
      </w:r>
      <w:r>
        <w:t>nderung der Beschreibung von UN </w:t>
      </w:r>
      <w:r w:rsidR="00F51996">
        <w:t xml:space="preserve">1361 in Erwägung gezogen werden, </w:t>
      </w:r>
      <w:r>
        <w:t>wobei</w:t>
      </w:r>
      <w:r w:rsidR="00F51996">
        <w:t xml:space="preserve"> auch Kohlenstoff</w:t>
      </w:r>
      <w:r>
        <w:t>, dessen Ursprung Kohlenwasserstoff ist, eingeschlossen werden sollte. Anderenfalls</w:t>
      </w:r>
      <w:r w:rsidR="00F51996">
        <w:t xml:space="preserve"> sollte </w:t>
      </w:r>
      <w:r>
        <w:t>die Eintragung "</w:t>
      </w:r>
      <w:r w:rsidR="00F51996">
        <w:t>UN 3088 SELBSTERHITZ</w:t>
      </w:r>
      <w:r>
        <w:t>UNGSFÄHIGER</w:t>
      </w:r>
      <w:r w:rsidR="00F51996">
        <w:t xml:space="preserve"> </w:t>
      </w:r>
      <w:r w:rsidR="000A564A">
        <w:t xml:space="preserve">ORGANISCHER </w:t>
      </w:r>
      <w:r w:rsidR="00F51996">
        <w:t>FESTER</w:t>
      </w:r>
      <w:r w:rsidR="000A564A">
        <w:t xml:space="preserve"> STOFF</w:t>
      </w:r>
      <w:r w:rsidR="00F51996">
        <w:t>, N.A.G." gewählt werden.</w:t>
      </w:r>
    </w:p>
    <w:p w:rsidR="000A564A" w:rsidRDefault="000A564A" w:rsidP="00F51996">
      <w:pPr>
        <w:tabs>
          <w:tab w:val="clear" w:pos="1276"/>
          <w:tab w:val="left" w:pos="1418"/>
          <w:tab w:val="left" w:pos="2977"/>
          <w:tab w:val="left" w:pos="4395"/>
        </w:tabs>
      </w:pPr>
    </w:p>
    <w:p w:rsidR="00F51996" w:rsidRDefault="000A564A" w:rsidP="000A564A">
      <w:pPr>
        <w:tabs>
          <w:tab w:val="clear" w:pos="1276"/>
          <w:tab w:val="left" w:pos="1418"/>
          <w:tab w:val="left" w:pos="2977"/>
          <w:tab w:val="left" w:pos="4395"/>
        </w:tabs>
        <w:ind w:left="425" w:hanging="425"/>
      </w:pPr>
      <w:r>
        <w:t>12.</w:t>
      </w:r>
      <w:r w:rsidR="00F51996">
        <w:tab/>
        <w:t xml:space="preserve">Da es sich hierbei um eine Frage der </w:t>
      </w:r>
      <w:r>
        <w:t>Zuordnung</w:t>
      </w:r>
      <w:r w:rsidR="00F51996">
        <w:t xml:space="preserve"> handelt, </w:t>
      </w:r>
      <w:r>
        <w:t>ist</w:t>
      </w:r>
      <w:r w:rsidR="00F51996">
        <w:t xml:space="preserve"> die Arbeitsgruppe der Ansicht, dass diese Frage im Plenum</w:t>
      </w:r>
      <w:r>
        <w:t xml:space="preserve"> und erforderlichenfalls im UN-Expertenu</w:t>
      </w:r>
      <w:r w:rsidR="00F51996">
        <w:t xml:space="preserve">nterausschuss </w:t>
      </w:r>
      <w:r>
        <w:t xml:space="preserve">für die Beförderung gefährlicher Güter </w:t>
      </w:r>
      <w:r w:rsidR="00F51996">
        <w:t xml:space="preserve">erörtert werden sollte. Wenn über die </w:t>
      </w:r>
      <w:r>
        <w:t>Zuordnung</w:t>
      </w:r>
      <w:r w:rsidR="00F51996">
        <w:t xml:space="preserve"> von Ruß entschieden worden ist, können die Vorschriften </w:t>
      </w:r>
      <w:r>
        <w:t>des Absatzes</w:t>
      </w:r>
      <w:r w:rsidR="00F51996">
        <w:t xml:space="preserve"> 6.8.2.1.27 und </w:t>
      </w:r>
      <w:r>
        <w:t xml:space="preserve">des Abschnitts </w:t>
      </w:r>
      <w:r w:rsidR="00F51996">
        <w:t>7.5.10 bei Bedarf erneut geprüft werden.</w:t>
      </w:r>
    </w:p>
    <w:p w:rsidR="000A564A" w:rsidRPr="00751AF0" w:rsidRDefault="000A564A" w:rsidP="000A564A">
      <w:pPr>
        <w:widowControl w:val="0"/>
        <w:ind w:left="425" w:hanging="425"/>
      </w:pPr>
    </w:p>
    <w:p w:rsidR="000A564A" w:rsidRDefault="000A564A" w:rsidP="000A564A">
      <w:pPr>
        <w:widowControl w:val="0"/>
        <w:tabs>
          <w:tab w:val="clear" w:pos="851"/>
          <w:tab w:val="clear" w:pos="1276"/>
          <w:tab w:val="left" w:pos="993"/>
        </w:tabs>
        <w:ind w:left="993" w:hanging="993"/>
      </w:pPr>
      <w:r w:rsidRPr="00FD05CA">
        <w:rPr>
          <w:rFonts w:cs="Arial"/>
          <w:b/>
          <w:szCs w:val="22"/>
        </w:rPr>
        <w:t xml:space="preserve">TOP </w:t>
      </w:r>
      <w:r>
        <w:rPr>
          <w:rFonts w:cs="Arial"/>
          <w:b/>
          <w:szCs w:val="22"/>
        </w:rPr>
        <w:t>5</w:t>
      </w:r>
      <w:r w:rsidRPr="00FD05CA">
        <w:rPr>
          <w:rFonts w:cs="Arial"/>
          <w:b/>
          <w:szCs w:val="22"/>
        </w:rPr>
        <w:t>:</w:t>
      </w:r>
      <w:r w:rsidRPr="00F51996">
        <w:rPr>
          <w:rFonts w:cs="Arial"/>
          <w:b/>
          <w:szCs w:val="22"/>
        </w:rPr>
        <w:tab/>
      </w:r>
      <w:r w:rsidRPr="000A564A">
        <w:rPr>
          <w:b/>
        </w:rPr>
        <w:t>Neue Übergangsvorschrift für ortsbewegliche Tanks des Kapitels 6.7</w:t>
      </w:r>
    </w:p>
    <w:p w:rsidR="000A564A" w:rsidRPr="00FD05CA" w:rsidRDefault="000A564A" w:rsidP="000A564A">
      <w:pPr>
        <w:tabs>
          <w:tab w:val="clear" w:pos="425"/>
          <w:tab w:val="clear" w:pos="851"/>
          <w:tab w:val="clear" w:pos="1276"/>
          <w:tab w:val="left" w:pos="0"/>
          <w:tab w:val="left" w:pos="1843"/>
          <w:tab w:val="left" w:pos="2977"/>
          <w:tab w:val="left" w:pos="4395"/>
        </w:tabs>
        <w:ind w:left="1276" w:hanging="851"/>
        <w:rPr>
          <w:rFonts w:cs="Arial"/>
          <w:szCs w:val="22"/>
        </w:rPr>
      </w:pPr>
    </w:p>
    <w:p w:rsidR="000A564A" w:rsidRPr="00922FF6" w:rsidRDefault="000A564A" w:rsidP="000A564A">
      <w:pPr>
        <w:tabs>
          <w:tab w:val="clear" w:pos="425"/>
          <w:tab w:val="clear" w:pos="851"/>
          <w:tab w:val="clear" w:pos="1276"/>
          <w:tab w:val="left" w:pos="567"/>
          <w:tab w:val="left" w:pos="993"/>
        </w:tabs>
        <w:ind w:left="2836" w:hanging="2411"/>
        <w:jc w:val="left"/>
        <w:rPr>
          <w:rFonts w:cs="Arial"/>
          <w:szCs w:val="22"/>
        </w:rPr>
      </w:pPr>
      <w:r w:rsidRPr="00922FF6">
        <w:rPr>
          <w:rFonts w:cs="Arial"/>
          <w:i/>
          <w:szCs w:val="22"/>
        </w:rPr>
        <w:t>Dokument:</w:t>
      </w:r>
      <w:r w:rsidRPr="00922FF6">
        <w:rPr>
          <w:rFonts w:cs="Arial"/>
          <w:i/>
          <w:szCs w:val="22"/>
        </w:rPr>
        <w:tab/>
      </w:r>
      <w:r w:rsidRPr="00922FF6">
        <w:rPr>
          <w:rFonts w:cs="Arial"/>
          <w:szCs w:val="22"/>
        </w:rPr>
        <w:t>OTIF/RID/RC/2024/</w:t>
      </w:r>
      <w:r>
        <w:rPr>
          <w:rFonts w:cs="Arial"/>
          <w:szCs w:val="22"/>
        </w:rPr>
        <w:t>8</w:t>
      </w:r>
      <w:r w:rsidRPr="00922FF6">
        <w:rPr>
          <w:rFonts w:cs="Arial"/>
          <w:szCs w:val="22"/>
        </w:rPr>
        <w:t xml:space="preserve"> (</w:t>
      </w:r>
      <w:r>
        <w:rPr>
          <w:rFonts w:cs="Arial"/>
          <w:szCs w:val="22"/>
        </w:rPr>
        <w:t>Spanien und EIGA</w:t>
      </w:r>
      <w:r w:rsidRPr="00922FF6">
        <w:rPr>
          <w:rFonts w:cs="Arial"/>
          <w:szCs w:val="22"/>
        </w:rPr>
        <w:t>)</w:t>
      </w:r>
    </w:p>
    <w:p w:rsidR="00922FF6" w:rsidRDefault="00922FF6" w:rsidP="00B126ED">
      <w:pPr>
        <w:tabs>
          <w:tab w:val="clear" w:pos="1276"/>
          <w:tab w:val="left" w:pos="1418"/>
          <w:tab w:val="left" w:pos="2977"/>
          <w:tab w:val="left" w:pos="4395"/>
        </w:tabs>
      </w:pPr>
    </w:p>
    <w:p w:rsidR="000A564A" w:rsidRDefault="000A564A" w:rsidP="000A564A">
      <w:pPr>
        <w:tabs>
          <w:tab w:val="clear" w:pos="1276"/>
          <w:tab w:val="left" w:pos="1418"/>
          <w:tab w:val="left" w:pos="2977"/>
          <w:tab w:val="left" w:pos="4395"/>
        </w:tabs>
        <w:ind w:left="425" w:hanging="425"/>
      </w:pPr>
      <w:r>
        <w:t>13.</w:t>
      </w:r>
      <w:r>
        <w:tab/>
        <w:t>In Absatz 6.7.4.15.1 (i) (iv) wurde die Kennzeichnung auf dem Tankschild von "Füllungsgrad" in "höchstzulässige Masse des eingefüllten Gases" geändert. Vom UN-Expertenunterausschuss für die Beförderung gefährlicher Güter wurde bereits eine Übergangsvorschrift beschlossen, die es erlaubt, bestehende ortsbewegliche Tanks mit der alten Kennzeichnung weiterzuverwenden. Aus Gründen der Harmonisierung wird eine Übergangsvorschrift im RID/ADR vorgeschlagen.</w:t>
      </w:r>
    </w:p>
    <w:p w:rsidR="000A564A" w:rsidRDefault="000A564A" w:rsidP="000A564A">
      <w:pPr>
        <w:tabs>
          <w:tab w:val="clear" w:pos="1276"/>
          <w:tab w:val="left" w:pos="1418"/>
          <w:tab w:val="left" w:pos="2977"/>
          <w:tab w:val="left" w:pos="4395"/>
        </w:tabs>
      </w:pPr>
    </w:p>
    <w:p w:rsidR="000A564A" w:rsidRDefault="000A564A" w:rsidP="000A564A">
      <w:pPr>
        <w:tabs>
          <w:tab w:val="clear" w:pos="1276"/>
          <w:tab w:val="left" w:pos="1418"/>
          <w:tab w:val="left" w:pos="2977"/>
          <w:tab w:val="left" w:pos="4395"/>
        </w:tabs>
      </w:pPr>
      <w:r>
        <w:t>14.</w:t>
      </w:r>
      <w:r>
        <w:tab/>
        <w:t>Der Antrag wird von den Experten der Tank-Arbeitsgruppe unterstützt.</w:t>
      </w:r>
    </w:p>
    <w:p w:rsidR="000A564A" w:rsidRDefault="000A564A" w:rsidP="000A564A">
      <w:pPr>
        <w:tabs>
          <w:tab w:val="clear" w:pos="1276"/>
          <w:tab w:val="left" w:pos="1418"/>
          <w:tab w:val="left" w:pos="2977"/>
          <w:tab w:val="left" w:pos="4395"/>
        </w:tabs>
      </w:pPr>
    </w:p>
    <w:p w:rsidR="003447FA" w:rsidRDefault="003447FA">
      <w:pPr>
        <w:tabs>
          <w:tab w:val="clear" w:pos="425"/>
          <w:tab w:val="clear" w:pos="851"/>
          <w:tab w:val="clear" w:pos="1276"/>
        </w:tabs>
        <w:jc w:val="left"/>
        <w:rPr>
          <w:rFonts w:cs="Arial"/>
          <w:b/>
          <w:szCs w:val="22"/>
        </w:rPr>
      </w:pPr>
      <w:r>
        <w:rPr>
          <w:rFonts w:cs="Arial"/>
          <w:b/>
          <w:szCs w:val="22"/>
        </w:rPr>
        <w:br w:type="page"/>
      </w:r>
    </w:p>
    <w:p w:rsidR="000A564A" w:rsidRDefault="000A564A" w:rsidP="000A564A">
      <w:pPr>
        <w:tabs>
          <w:tab w:val="clear" w:pos="425"/>
          <w:tab w:val="clear" w:pos="851"/>
          <w:tab w:val="clear" w:pos="1276"/>
          <w:tab w:val="left" w:pos="1418"/>
        </w:tabs>
        <w:ind w:left="425"/>
        <w:rPr>
          <w:rFonts w:cs="Arial"/>
          <w:b/>
          <w:szCs w:val="22"/>
        </w:rPr>
      </w:pPr>
      <w:r>
        <w:rPr>
          <w:rFonts w:cs="Arial"/>
          <w:b/>
          <w:szCs w:val="22"/>
        </w:rPr>
        <w:t>Antrag 4</w:t>
      </w:r>
      <w:r w:rsidR="007A2663">
        <w:rPr>
          <w:rFonts w:cs="Arial"/>
          <w:b/>
          <w:szCs w:val="22"/>
        </w:rPr>
        <w:t xml:space="preserve"> (für die Ausgabe 2025 des RID/ADR)</w:t>
      </w:r>
    </w:p>
    <w:p w:rsidR="000A564A" w:rsidRDefault="000A564A" w:rsidP="007A2663">
      <w:pPr>
        <w:tabs>
          <w:tab w:val="clear" w:pos="425"/>
          <w:tab w:val="clear" w:pos="851"/>
          <w:tab w:val="clear" w:pos="1276"/>
          <w:tab w:val="left" w:pos="1418"/>
        </w:tabs>
      </w:pPr>
    </w:p>
    <w:p w:rsidR="007A2663" w:rsidRPr="007A2663" w:rsidRDefault="007A2663" w:rsidP="00EE22B8">
      <w:pPr>
        <w:tabs>
          <w:tab w:val="clear" w:pos="1276"/>
          <w:tab w:val="left" w:pos="1701"/>
          <w:tab w:val="left" w:pos="2977"/>
          <w:tab w:val="left" w:pos="4395"/>
        </w:tabs>
        <w:ind w:left="1701" w:hanging="1276"/>
      </w:pPr>
      <w:r>
        <w:rPr>
          <w:b/>
        </w:rPr>
        <w:t>1.6.4</w:t>
      </w:r>
      <w:r>
        <w:tab/>
        <w:t>Folgende neue Übergangsvorschrift einfügen:</w:t>
      </w:r>
    </w:p>
    <w:p w:rsidR="007A2663" w:rsidRDefault="007A2663" w:rsidP="007A2663">
      <w:pPr>
        <w:tabs>
          <w:tab w:val="clear" w:pos="1276"/>
          <w:tab w:val="left" w:pos="1418"/>
          <w:tab w:val="left" w:pos="2977"/>
          <w:tab w:val="left" w:pos="4395"/>
        </w:tabs>
        <w:ind w:left="850" w:hanging="425"/>
      </w:pPr>
    </w:p>
    <w:p w:rsidR="007A2663" w:rsidRPr="009016C5" w:rsidRDefault="007A2663" w:rsidP="00EE22B8">
      <w:pPr>
        <w:tabs>
          <w:tab w:val="clear" w:pos="1276"/>
          <w:tab w:val="left" w:pos="1701"/>
          <w:tab w:val="left" w:pos="2977"/>
          <w:tab w:val="left" w:pos="4395"/>
        </w:tabs>
        <w:ind w:left="1701" w:hanging="1276"/>
      </w:pPr>
      <w:r w:rsidRPr="007A2663">
        <w:t>"</w:t>
      </w:r>
      <w:r>
        <w:rPr>
          <w:b/>
        </w:rPr>
        <w:t>1.6.4.xx</w:t>
      </w:r>
      <w:r>
        <w:tab/>
      </w:r>
      <w:r w:rsidRPr="009016C5">
        <w:t>Ortsbewegliche Tanks, die vor dem 1.</w:t>
      </w:r>
      <w:r>
        <w:t> </w:t>
      </w:r>
      <w:r w:rsidRPr="009016C5">
        <w:t>J</w:t>
      </w:r>
      <w:r>
        <w:t>anuar</w:t>
      </w:r>
      <w:r w:rsidRPr="009016C5">
        <w:t xml:space="preserve"> 20</w:t>
      </w:r>
      <w:r>
        <w:t>27 nach den bis zum 31. </w:t>
      </w:r>
      <w:r w:rsidRPr="009016C5">
        <w:t>Dezember 20</w:t>
      </w:r>
      <w:r>
        <w:t>24</w:t>
      </w:r>
      <w:r w:rsidRPr="009016C5">
        <w:t xml:space="preserve"> </w:t>
      </w:r>
      <w:r>
        <w:t xml:space="preserve">geltenden Vorschriften </w:t>
      </w:r>
      <w:r w:rsidRPr="009016C5">
        <w:t xml:space="preserve">gebaut wurden, </w:t>
      </w:r>
      <w:r w:rsidRPr="007E016F">
        <w:t>jedoch nicht den ab 1.</w:t>
      </w:r>
      <w:r>
        <w:t> </w:t>
      </w:r>
      <w:r w:rsidRPr="007E016F">
        <w:t>Januar 20</w:t>
      </w:r>
      <w:r>
        <w:t>25</w:t>
      </w:r>
      <w:r w:rsidRPr="007E016F">
        <w:t xml:space="preserve"> geltenden Vorschriften des Absatzes </w:t>
      </w:r>
      <w:r>
        <w:t>6.7.4.15.1 (i) (iv)</w:t>
      </w:r>
      <w:r w:rsidRPr="007E016F">
        <w:t xml:space="preserve"> entsprechen, dürfen weiterverwendet werden.</w:t>
      </w:r>
      <w:r>
        <w:t>"</w:t>
      </w:r>
    </w:p>
    <w:p w:rsidR="007A2663" w:rsidRPr="00751AF0" w:rsidRDefault="007A2663" w:rsidP="007A2663">
      <w:pPr>
        <w:widowControl w:val="0"/>
        <w:ind w:left="425" w:hanging="425"/>
      </w:pPr>
    </w:p>
    <w:p w:rsidR="007A2663" w:rsidRDefault="007A2663" w:rsidP="007A2663">
      <w:pPr>
        <w:widowControl w:val="0"/>
        <w:tabs>
          <w:tab w:val="clear" w:pos="851"/>
          <w:tab w:val="clear" w:pos="1276"/>
          <w:tab w:val="left" w:pos="993"/>
        </w:tabs>
        <w:ind w:left="993" w:hanging="993"/>
      </w:pPr>
      <w:r w:rsidRPr="00FD05CA">
        <w:rPr>
          <w:rFonts w:cs="Arial"/>
          <w:b/>
          <w:szCs w:val="22"/>
        </w:rPr>
        <w:t xml:space="preserve">TOP </w:t>
      </w:r>
      <w:r>
        <w:rPr>
          <w:rFonts w:cs="Arial"/>
          <w:b/>
          <w:szCs w:val="22"/>
        </w:rPr>
        <w:t>6</w:t>
      </w:r>
      <w:r w:rsidRPr="00FD05CA">
        <w:rPr>
          <w:rFonts w:cs="Arial"/>
          <w:b/>
          <w:szCs w:val="22"/>
        </w:rPr>
        <w:t>:</w:t>
      </w:r>
      <w:r w:rsidRPr="00F51996">
        <w:rPr>
          <w:rFonts w:cs="Arial"/>
          <w:b/>
          <w:szCs w:val="22"/>
        </w:rPr>
        <w:tab/>
      </w:r>
      <w:r w:rsidRPr="007A2663">
        <w:rPr>
          <w:b/>
        </w:rPr>
        <w:t>Befreiung von der Berechnung der tatsächlichen Haltezeit für Tankcontainer und ortsbewegliche Tanks bei ausschließlicher Beförderung auf der Straße</w:t>
      </w:r>
    </w:p>
    <w:p w:rsidR="007A2663" w:rsidRPr="00FD05CA" w:rsidRDefault="007A2663" w:rsidP="007A2663">
      <w:pPr>
        <w:tabs>
          <w:tab w:val="clear" w:pos="425"/>
          <w:tab w:val="clear" w:pos="851"/>
          <w:tab w:val="clear" w:pos="1276"/>
          <w:tab w:val="left" w:pos="0"/>
          <w:tab w:val="left" w:pos="1843"/>
          <w:tab w:val="left" w:pos="2977"/>
          <w:tab w:val="left" w:pos="4395"/>
        </w:tabs>
        <w:ind w:left="1276" w:hanging="851"/>
        <w:rPr>
          <w:rFonts w:cs="Arial"/>
          <w:szCs w:val="22"/>
        </w:rPr>
      </w:pPr>
    </w:p>
    <w:p w:rsidR="007A2663" w:rsidRPr="00922FF6" w:rsidRDefault="007A2663" w:rsidP="007A2663">
      <w:pPr>
        <w:tabs>
          <w:tab w:val="clear" w:pos="425"/>
          <w:tab w:val="clear" w:pos="851"/>
          <w:tab w:val="clear" w:pos="1276"/>
          <w:tab w:val="left" w:pos="567"/>
          <w:tab w:val="left" w:pos="993"/>
        </w:tabs>
        <w:ind w:left="2836" w:hanging="2411"/>
        <w:jc w:val="left"/>
        <w:rPr>
          <w:rFonts w:cs="Arial"/>
          <w:szCs w:val="22"/>
        </w:rPr>
      </w:pPr>
      <w:r w:rsidRPr="00922FF6">
        <w:rPr>
          <w:rFonts w:cs="Arial"/>
          <w:i/>
          <w:szCs w:val="22"/>
        </w:rPr>
        <w:t>Dokument:</w:t>
      </w:r>
      <w:r w:rsidRPr="00922FF6">
        <w:rPr>
          <w:rFonts w:cs="Arial"/>
          <w:i/>
          <w:szCs w:val="22"/>
        </w:rPr>
        <w:tab/>
      </w:r>
      <w:r w:rsidRPr="00922FF6">
        <w:rPr>
          <w:rFonts w:cs="Arial"/>
          <w:szCs w:val="22"/>
        </w:rPr>
        <w:t>OTIF/RID/RC/2024/</w:t>
      </w:r>
      <w:r>
        <w:rPr>
          <w:rFonts w:cs="Arial"/>
          <w:szCs w:val="22"/>
        </w:rPr>
        <w:t>18</w:t>
      </w:r>
      <w:r w:rsidRPr="00922FF6">
        <w:rPr>
          <w:rFonts w:cs="Arial"/>
          <w:szCs w:val="22"/>
        </w:rPr>
        <w:t xml:space="preserve"> (</w:t>
      </w:r>
      <w:r>
        <w:rPr>
          <w:rFonts w:cs="Arial"/>
          <w:szCs w:val="22"/>
        </w:rPr>
        <w:t>Niederlande</w:t>
      </w:r>
      <w:r w:rsidRPr="00922FF6">
        <w:rPr>
          <w:rFonts w:cs="Arial"/>
          <w:szCs w:val="22"/>
        </w:rPr>
        <w:t>)</w:t>
      </w:r>
    </w:p>
    <w:p w:rsidR="007A2663" w:rsidRDefault="007A2663" w:rsidP="007A2663">
      <w:pPr>
        <w:tabs>
          <w:tab w:val="clear" w:pos="1276"/>
          <w:tab w:val="left" w:pos="1418"/>
          <w:tab w:val="left" w:pos="2977"/>
          <w:tab w:val="left" w:pos="4395"/>
        </w:tabs>
      </w:pPr>
    </w:p>
    <w:p w:rsidR="007A2663" w:rsidRDefault="007A2663" w:rsidP="007A2663">
      <w:pPr>
        <w:tabs>
          <w:tab w:val="clear" w:pos="1276"/>
          <w:tab w:val="left" w:pos="1418"/>
          <w:tab w:val="left" w:pos="2977"/>
          <w:tab w:val="left" w:pos="4395"/>
        </w:tabs>
        <w:ind w:left="425" w:hanging="425"/>
      </w:pPr>
      <w:r>
        <w:t>15.</w:t>
      </w:r>
      <w:r>
        <w:tab/>
        <w:t>Wenn ortsbewegliche Tanks und Tankcontainer nur im Straßenverkehr verwendet werden, ist die Beförderung relativ kurz und es ist ein Fahrer anwesend, der den Druck des Tanks überwacht. Es wird vorgeschlagen, in diesen Fällen auf die Verpflichtung zur Berechnung der tatsächlichen Haltezeit zu verzichten, wie dies bei Tankfahrzeugen der Fall ist. Der Vorschlag gilt nur für das ADR.</w:t>
      </w:r>
    </w:p>
    <w:p w:rsidR="007A2663" w:rsidRDefault="007A2663" w:rsidP="007A2663">
      <w:pPr>
        <w:tabs>
          <w:tab w:val="clear" w:pos="1276"/>
          <w:tab w:val="left" w:pos="1418"/>
          <w:tab w:val="left" w:pos="2977"/>
          <w:tab w:val="left" w:pos="4395"/>
        </w:tabs>
      </w:pPr>
    </w:p>
    <w:p w:rsidR="007A2663" w:rsidRDefault="007A2663" w:rsidP="007A2663">
      <w:pPr>
        <w:tabs>
          <w:tab w:val="clear" w:pos="1276"/>
          <w:tab w:val="left" w:pos="1418"/>
          <w:tab w:val="left" w:pos="2977"/>
          <w:tab w:val="left" w:pos="4395"/>
        </w:tabs>
        <w:ind w:left="425" w:hanging="425"/>
      </w:pPr>
      <w:r>
        <w:t>16.</w:t>
      </w:r>
      <w:r>
        <w:tab/>
        <w:t>Der Vorschlag findet allgemeine Zustimmung, jedoch wird die Ansicht vertreten, dass der Wortlaut vereinfacht werden könnte. Neben der Vereinfachung werden auch Folgeänderungen als notwendig erachtet, die schließlich zu einem zusätzlichen Satz in dem vereinfachten Vorschlag führen. Darüber hinaus wird eine Folgeänderung für das Beförderungs</w:t>
      </w:r>
      <w:r w:rsidR="00364B4F">
        <w:t>papier</w:t>
      </w:r>
      <w:r>
        <w:t xml:space="preserve"> vorgeschlagen.</w:t>
      </w:r>
    </w:p>
    <w:p w:rsidR="005166CE" w:rsidRDefault="005166CE" w:rsidP="005166CE">
      <w:pPr>
        <w:tabs>
          <w:tab w:val="clear" w:pos="1276"/>
          <w:tab w:val="left" w:pos="1418"/>
          <w:tab w:val="left" w:pos="2977"/>
          <w:tab w:val="left" w:pos="4395"/>
        </w:tabs>
      </w:pPr>
    </w:p>
    <w:p w:rsidR="005166CE" w:rsidRDefault="005166CE" w:rsidP="005166CE">
      <w:pPr>
        <w:tabs>
          <w:tab w:val="clear" w:pos="425"/>
          <w:tab w:val="clear" w:pos="851"/>
          <w:tab w:val="clear" w:pos="1276"/>
          <w:tab w:val="left" w:pos="1418"/>
        </w:tabs>
        <w:ind w:left="425"/>
        <w:rPr>
          <w:rFonts w:cs="Arial"/>
          <w:b/>
          <w:szCs w:val="22"/>
        </w:rPr>
      </w:pPr>
      <w:r>
        <w:rPr>
          <w:rFonts w:cs="Arial"/>
          <w:b/>
          <w:szCs w:val="22"/>
        </w:rPr>
        <w:t>Antrag 5 (für die Ausgabe 2025 des ADR)</w:t>
      </w:r>
    </w:p>
    <w:p w:rsidR="005166CE" w:rsidRDefault="005166CE" w:rsidP="005166CE">
      <w:pPr>
        <w:tabs>
          <w:tab w:val="clear" w:pos="425"/>
          <w:tab w:val="clear" w:pos="851"/>
          <w:tab w:val="clear" w:pos="1276"/>
          <w:tab w:val="left" w:pos="1418"/>
        </w:tabs>
      </w:pPr>
    </w:p>
    <w:p w:rsidR="005166CE" w:rsidRDefault="005166CE" w:rsidP="00EE22B8">
      <w:pPr>
        <w:tabs>
          <w:tab w:val="clear" w:pos="1276"/>
          <w:tab w:val="left" w:pos="1701"/>
          <w:tab w:val="left" w:pos="2977"/>
          <w:tab w:val="left" w:pos="4395"/>
        </w:tabs>
        <w:ind w:left="1701" w:hanging="1276"/>
      </w:pPr>
      <w:r>
        <w:rPr>
          <w:b/>
        </w:rPr>
        <w:t>4.2.3.7.1</w:t>
      </w:r>
      <w:r>
        <w:rPr>
          <w:b/>
        </w:rPr>
        <w:tab/>
      </w:r>
      <w:r>
        <w:t>Am Ende folgenden Unterabsatz hinzufügen:</w:t>
      </w:r>
    </w:p>
    <w:p w:rsidR="005166CE" w:rsidRDefault="005166CE" w:rsidP="005166CE">
      <w:pPr>
        <w:tabs>
          <w:tab w:val="clear" w:pos="1276"/>
          <w:tab w:val="left" w:pos="1418"/>
          <w:tab w:val="left" w:pos="2977"/>
          <w:tab w:val="left" w:pos="4395"/>
        </w:tabs>
        <w:ind w:left="850" w:hanging="425"/>
      </w:pPr>
    </w:p>
    <w:p w:rsidR="005166CE" w:rsidRDefault="005166CE" w:rsidP="00EE22B8">
      <w:pPr>
        <w:tabs>
          <w:tab w:val="clear" w:pos="1276"/>
          <w:tab w:val="left" w:pos="1418"/>
          <w:tab w:val="left" w:pos="2977"/>
          <w:tab w:val="left" w:pos="4395"/>
        </w:tabs>
        <w:ind w:left="1701"/>
      </w:pPr>
      <w:r>
        <w:t xml:space="preserve">"Auf die </w:t>
      </w:r>
      <w:r w:rsidRPr="00EF5247">
        <w:t xml:space="preserve">Berechnung der tatsächlichen Haltezeit </w:t>
      </w:r>
      <w:r>
        <w:t xml:space="preserve">kann verzichtet werden, wenn die gesamte Beförderung </w:t>
      </w:r>
      <w:r w:rsidRPr="00EF5247">
        <w:t>ohne Um</w:t>
      </w:r>
      <w:r>
        <w:t>schlag</w:t>
      </w:r>
      <w:r w:rsidRPr="00EF5247">
        <w:t xml:space="preserve"> auf </w:t>
      </w:r>
      <w:r>
        <w:t>ein anderes</w:t>
      </w:r>
      <w:r w:rsidRPr="00EF5247">
        <w:t xml:space="preserve"> Fahrzeug</w:t>
      </w:r>
      <w:r>
        <w:t xml:space="preserve"> und</w:t>
      </w:r>
      <w:r w:rsidRPr="00EF5247">
        <w:t xml:space="preserve"> ohne </w:t>
      </w:r>
      <w:r>
        <w:t>zeitweiliges Abstellen ausschließlich auf der Straße erfolgt</w:t>
      </w:r>
      <w:r w:rsidRPr="00EF5247">
        <w:t>.</w:t>
      </w:r>
      <w:r>
        <w:t xml:space="preserve"> Wenn auf die Berechnung der tatsächlichen Haltezeit verzichtet wird, gelten die Vorschriften der Absätze 4.2.3.7.2 und 4.2.3.7.3 sowie des Unterabschnitts 4.2.3.8 e) und f) nicht."</w:t>
      </w:r>
    </w:p>
    <w:p w:rsidR="005166CE" w:rsidRDefault="005166CE" w:rsidP="005166CE">
      <w:pPr>
        <w:tabs>
          <w:tab w:val="clear" w:pos="1276"/>
          <w:tab w:val="left" w:pos="1418"/>
          <w:tab w:val="left" w:pos="2977"/>
          <w:tab w:val="left" w:pos="4395"/>
        </w:tabs>
        <w:ind w:left="993" w:hanging="993"/>
      </w:pPr>
    </w:p>
    <w:p w:rsidR="005166CE" w:rsidRDefault="005166CE" w:rsidP="00EE22B8">
      <w:pPr>
        <w:tabs>
          <w:tab w:val="clear" w:pos="1276"/>
          <w:tab w:val="left" w:pos="1701"/>
          <w:tab w:val="left" w:pos="2977"/>
          <w:tab w:val="left" w:pos="4395"/>
        </w:tabs>
        <w:ind w:left="1701" w:hanging="1276"/>
      </w:pPr>
      <w:r>
        <w:rPr>
          <w:b/>
        </w:rPr>
        <w:t>4.3.3.</w:t>
      </w:r>
      <w:r w:rsidRPr="005166CE">
        <w:rPr>
          <w:b/>
        </w:rPr>
        <w:t>5</w:t>
      </w:r>
      <w:r>
        <w:tab/>
        <w:t>In der rechten Spalte am Ende folgenden Unterabsatz hinzufügen:</w:t>
      </w:r>
    </w:p>
    <w:p w:rsidR="005166CE" w:rsidRDefault="005166CE" w:rsidP="00EE22B8">
      <w:pPr>
        <w:tabs>
          <w:tab w:val="clear" w:pos="1276"/>
          <w:tab w:val="left" w:pos="1418"/>
          <w:tab w:val="left" w:pos="2977"/>
          <w:tab w:val="left" w:pos="4395"/>
        </w:tabs>
        <w:ind w:left="2126" w:hanging="425"/>
      </w:pPr>
    </w:p>
    <w:p w:rsidR="001759D2" w:rsidRDefault="005166CE" w:rsidP="00EE22B8">
      <w:pPr>
        <w:tabs>
          <w:tab w:val="clear" w:pos="1276"/>
          <w:tab w:val="left" w:pos="1418"/>
          <w:tab w:val="left" w:pos="2977"/>
          <w:tab w:val="left" w:pos="4395"/>
        </w:tabs>
        <w:ind w:left="1701"/>
      </w:pPr>
      <w:r>
        <w:t xml:space="preserve">"Auf die </w:t>
      </w:r>
      <w:r w:rsidRPr="00EF5247">
        <w:t xml:space="preserve">Berechnung der tatsächlichen Haltezeit </w:t>
      </w:r>
      <w:r>
        <w:t xml:space="preserve">kann verzichtet werden, wenn die </w:t>
      </w:r>
      <w:r w:rsidR="001759D2">
        <w:t xml:space="preserve">gesamte </w:t>
      </w:r>
      <w:r>
        <w:t xml:space="preserve">Beförderung </w:t>
      </w:r>
      <w:r w:rsidR="001759D2" w:rsidRPr="00EF5247">
        <w:t>ohne Um</w:t>
      </w:r>
      <w:r w:rsidR="001759D2">
        <w:t>schlag</w:t>
      </w:r>
      <w:r w:rsidR="001759D2" w:rsidRPr="00EF5247">
        <w:t xml:space="preserve"> auf </w:t>
      </w:r>
      <w:r w:rsidR="001759D2">
        <w:t>ein anderes</w:t>
      </w:r>
      <w:r w:rsidR="001759D2" w:rsidRPr="00EF5247">
        <w:t xml:space="preserve"> Fahrzeug</w:t>
      </w:r>
      <w:r w:rsidR="001759D2">
        <w:t xml:space="preserve"> und</w:t>
      </w:r>
      <w:r w:rsidR="001759D2" w:rsidRPr="00EF5247">
        <w:t xml:space="preserve"> ohne </w:t>
      </w:r>
      <w:r w:rsidR="001759D2">
        <w:t>zeitweiliges Abstellen ausschließlich auf der Straße erfolgt</w:t>
      </w:r>
      <w:r w:rsidR="001759D2" w:rsidRPr="00EF5247">
        <w:t>.</w:t>
      </w:r>
      <w:r w:rsidR="001759D2">
        <w:t xml:space="preserve"> Wenn auf die Berechnung der tatsächlichen Haltezeit verzichtet wird, gelten die Vorschriften des Unterabschnitts 4.3.3.6 e), f) und g) nicht."</w:t>
      </w:r>
    </w:p>
    <w:p w:rsidR="000A564A" w:rsidRDefault="000A564A" w:rsidP="001759D2">
      <w:pPr>
        <w:tabs>
          <w:tab w:val="clear" w:pos="1276"/>
          <w:tab w:val="left" w:pos="1418"/>
          <w:tab w:val="left" w:pos="2977"/>
          <w:tab w:val="left" w:pos="4395"/>
        </w:tabs>
        <w:ind w:left="425"/>
      </w:pPr>
    </w:p>
    <w:p w:rsidR="001759D2" w:rsidRDefault="001759D2" w:rsidP="00EE22B8">
      <w:pPr>
        <w:tabs>
          <w:tab w:val="clear" w:pos="1276"/>
          <w:tab w:val="left" w:pos="1701"/>
          <w:tab w:val="left" w:pos="2977"/>
          <w:tab w:val="left" w:pos="4395"/>
        </w:tabs>
        <w:ind w:left="1701" w:hanging="1276"/>
      </w:pPr>
      <w:r>
        <w:rPr>
          <w:b/>
        </w:rPr>
        <w:t>5.4.1.2.2</w:t>
      </w:r>
      <w:r>
        <w:tab/>
        <w:t>Am Ende von Absatz d) einen neuen Unterabsatz mit folgendem Wortlaut hinzufügen:</w:t>
      </w:r>
    </w:p>
    <w:p w:rsidR="001759D2" w:rsidRPr="001759D2" w:rsidRDefault="001759D2" w:rsidP="00EE22B8">
      <w:pPr>
        <w:tabs>
          <w:tab w:val="clear" w:pos="1276"/>
          <w:tab w:val="left" w:pos="1418"/>
          <w:tab w:val="left" w:pos="2977"/>
          <w:tab w:val="left" w:pos="4395"/>
        </w:tabs>
        <w:ind w:left="1701"/>
      </w:pPr>
    </w:p>
    <w:p w:rsidR="001759D2" w:rsidRDefault="001759D2" w:rsidP="00EE22B8">
      <w:pPr>
        <w:tabs>
          <w:tab w:val="clear" w:pos="1276"/>
          <w:tab w:val="left" w:pos="1418"/>
          <w:tab w:val="left" w:pos="2977"/>
          <w:tab w:val="left" w:pos="4395"/>
        </w:tabs>
        <w:ind w:left="1701"/>
      </w:pPr>
      <w:r>
        <w:t>"Diese Vorschrift gilt nicht, wenn auf die Berechnung der aktuellen Haltezeit in Übereinstimmung mit Absatz 4.2.3.7.1 oder Unterabschnitt 4.3.3.5 verzichtet wird."</w:t>
      </w:r>
    </w:p>
    <w:p w:rsidR="001759D2" w:rsidRPr="00751AF0" w:rsidRDefault="001759D2" w:rsidP="001759D2">
      <w:pPr>
        <w:widowControl w:val="0"/>
        <w:ind w:left="425" w:hanging="425"/>
      </w:pPr>
    </w:p>
    <w:p w:rsidR="003447FA" w:rsidRDefault="003447FA">
      <w:pPr>
        <w:tabs>
          <w:tab w:val="clear" w:pos="425"/>
          <w:tab w:val="clear" w:pos="851"/>
          <w:tab w:val="clear" w:pos="1276"/>
        </w:tabs>
        <w:jc w:val="left"/>
        <w:rPr>
          <w:rFonts w:cs="Arial"/>
          <w:b/>
          <w:szCs w:val="22"/>
        </w:rPr>
      </w:pPr>
      <w:r>
        <w:rPr>
          <w:rFonts w:cs="Arial"/>
          <w:b/>
          <w:szCs w:val="22"/>
        </w:rPr>
        <w:br w:type="page"/>
      </w:r>
    </w:p>
    <w:p w:rsidR="001759D2" w:rsidRDefault="001759D2" w:rsidP="001759D2">
      <w:pPr>
        <w:widowControl w:val="0"/>
        <w:tabs>
          <w:tab w:val="clear" w:pos="851"/>
          <w:tab w:val="clear" w:pos="1276"/>
          <w:tab w:val="left" w:pos="993"/>
        </w:tabs>
        <w:ind w:left="993" w:hanging="993"/>
      </w:pPr>
      <w:r w:rsidRPr="00FD05CA">
        <w:rPr>
          <w:rFonts w:cs="Arial"/>
          <w:b/>
          <w:szCs w:val="22"/>
        </w:rPr>
        <w:t xml:space="preserve">TOP </w:t>
      </w:r>
      <w:r>
        <w:rPr>
          <w:rFonts w:cs="Arial"/>
          <w:b/>
          <w:szCs w:val="22"/>
        </w:rPr>
        <w:t>7</w:t>
      </w:r>
      <w:r w:rsidRPr="00FD05CA">
        <w:rPr>
          <w:rFonts w:cs="Arial"/>
          <w:b/>
          <w:szCs w:val="22"/>
        </w:rPr>
        <w:t>:</w:t>
      </w:r>
      <w:r w:rsidRPr="001759D2">
        <w:rPr>
          <w:rFonts w:cs="Arial"/>
          <w:b/>
          <w:szCs w:val="22"/>
        </w:rPr>
        <w:tab/>
      </w:r>
      <w:r w:rsidRPr="001759D2">
        <w:rPr>
          <w:b/>
        </w:rPr>
        <w:t>Klarstellung der Rolle des Absenders beim Versand von Kesselwagen, Tankcontainern und ortsbeweglichen Tanks für die Beförderung tiefgekühlt verflüssigter Gase</w:t>
      </w:r>
    </w:p>
    <w:p w:rsidR="001759D2" w:rsidRPr="00FD05CA" w:rsidRDefault="001759D2" w:rsidP="001759D2">
      <w:pPr>
        <w:tabs>
          <w:tab w:val="clear" w:pos="425"/>
          <w:tab w:val="clear" w:pos="851"/>
          <w:tab w:val="clear" w:pos="1276"/>
          <w:tab w:val="left" w:pos="0"/>
          <w:tab w:val="left" w:pos="1843"/>
          <w:tab w:val="left" w:pos="2977"/>
          <w:tab w:val="left" w:pos="4395"/>
        </w:tabs>
        <w:ind w:left="1276" w:hanging="851"/>
        <w:rPr>
          <w:rFonts w:cs="Arial"/>
          <w:szCs w:val="22"/>
        </w:rPr>
      </w:pPr>
    </w:p>
    <w:p w:rsidR="001759D2" w:rsidRPr="00922FF6" w:rsidRDefault="001759D2" w:rsidP="001759D2">
      <w:pPr>
        <w:tabs>
          <w:tab w:val="clear" w:pos="425"/>
          <w:tab w:val="clear" w:pos="851"/>
          <w:tab w:val="clear" w:pos="1276"/>
          <w:tab w:val="left" w:pos="567"/>
          <w:tab w:val="left" w:pos="993"/>
        </w:tabs>
        <w:ind w:left="2836" w:hanging="2411"/>
        <w:jc w:val="left"/>
        <w:rPr>
          <w:rFonts w:cs="Arial"/>
          <w:szCs w:val="22"/>
        </w:rPr>
      </w:pPr>
      <w:r w:rsidRPr="00922FF6">
        <w:rPr>
          <w:rFonts w:cs="Arial"/>
          <w:i/>
          <w:szCs w:val="22"/>
        </w:rPr>
        <w:t>Dokument:</w:t>
      </w:r>
      <w:r w:rsidRPr="00922FF6">
        <w:rPr>
          <w:rFonts w:cs="Arial"/>
          <w:i/>
          <w:szCs w:val="22"/>
        </w:rPr>
        <w:tab/>
      </w:r>
      <w:r w:rsidRPr="00922FF6">
        <w:rPr>
          <w:rFonts w:cs="Arial"/>
          <w:szCs w:val="22"/>
        </w:rPr>
        <w:t>OTIF/RID/RC/2024/</w:t>
      </w:r>
      <w:r>
        <w:rPr>
          <w:rFonts w:cs="Arial"/>
          <w:szCs w:val="22"/>
        </w:rPr>
        <w:t>26</w:t>
      </w:r>
      <w:r w:rsidRPr="00922FF6">
        <w:rPr>
          <w:rFonts w:cs="Arial"/>
          <w:szCs w:val="22"/>
        </w:rPr>
        <w:t xml:space="preserve"> (</w:t>
      </w:r>
      <w:r>
        <w:rPr>
          <w:rFonts w:cs="Arial"/>
          <w:szCs w:val="22"/>
        </w:rPr>
        <w:t>UIC</w:t>
      </w:r>
      <w:r w:rsidRPr="00922FF6">
        <w:rPr>
          <w:rFonts w:cs="Arial"/>
          <w:szCs w:val="22"/>
        </w:rPr>
        <w:t>)</w:t>
      </w:r>
    </w:p>
    <w:p w:rsidR="001759D2" w:rsidRDefault="001759D2" w:rsidP="001759D2">
      <w:pPr>
        <w:tabs>
          <w:tab w:val="clear" w:pos="1276"/>
          <w:tab w:val="left" w:pos="1418"/>
          <w:tab w:val="left" w:pos="2977"/>
          <w:tab w:val="left" w:pos="4395"/>
        </w:tabs>
      </w:pPr>
    </w:p>
    <w:p w:rsidR="001759D2" w:rsidRDefault="001759D2" w:rsidP="001759D2">
      <w:pPr>
        <w:tabs>
          <w:tab w:val="clear" w:pos="1276"/>
          <w:tab w:val="left" w:pos="1418"/>
          <w:tab w:val="left" w:pos="2977"/>
          <w:tab w:val="left" w:pos="4395"/>
        </w:tabs>
        <w:ind w:left="425" w:hanging="425"/>
      </w:pPr>
      <w:r>
        <w:t>17.</w:t>
      </w:r>
      <w:r>
        <w:tab/>
      </w:r>
      <w:r w:rsidR="00364B4F">
        <w:t>Bei</w:t>
      </w:r>
      <w:r>
        <w:t xml:space="preserve"> der Gemeinsamen Tagung im Herbst 2023 wurde in Unterabschnitt 4.3.3.6 ein neuer Absatz h) eingefügt, der sich mit ungereinigten leeren Tanks für tiefgekühlt verflüssigte Gase befasst. Damit soll ein vorzeitiges Auslösen der Druckentlastungseinrichtungen verhindert werden. Außerdem wurde bei dieser Tagung diskutiert, ob in den </w:t>
      </w:r>
      <w:r w:rsidR="005C1709">
        <w:t>Absatz</w:t>
      </w:r>
      <w:r>
        <w:t xml:space="preserve"> 1.4.2.1.1 ein neuer </w:t>
      </w:r>
      <w:r w:rsidR="005C1709">
        <w:t>Absatz</w:t>
      </w:r>
      <w:r>
        <w:t xml:space="preserve"> f) aufgenommen werden soll</w:t>
      </w:r>
      <w:r w:rsidR="005C1709">
        <w:t>te</w:t>
      </w:r>
      <w:r>
        <w:t xml:space="preserve">, um </w:t>
      </w:r>
      <w:r w:rsidR="005C1709">
        <w:t>klarzustellen, dass es die Pflicht</w:t>
      </w:r>
      <w:r>
        <w:t xml:space="preserve"> des Absenders </w:t>
      </w:r>
      <w:r w:rsidR="005C1709">
        <w:t>ist, die tatsächliche</w:t>
      </w:r>
      <w:r>
        <w:t xml:space="preserve"> Halte</w:t>
      </w:r>
      <w:r w:rsidR="00364B4F">
        <w:t>zeit</w:t>
      </w:r>
      <w:r>
        <w:t xml:space="preserve"> </w:t>
      </w:r>
      <w:r w:rsidR="005C1709">
        <w:t xml:space="preserve">zu bestimmen </w:t>
      </w:r>
      <w:r>
        <w:t xml:space="preserve">und </w:t>
      </w:r>
      <w:r w:rsidR="00364B4F">
        <w:t xml:space="preserve">bei </w:t>
      </w:r>
      <w:r>
        <w:t>ungereinigte</w:t>
      </w:r>
      <w:r w:rsidR="00364B4F">
        <w:t>n</w:t>
      </w:r>
      <w:r>
        <w:t xml:space="preserve"> </w:t>
      </w:r>
      <w:r w:rsidR="00364B4F">
        <w:t xml:space="preserve">leeren </w:t>
      </w:r>
      <w:r>
        <w:t xml:space="preserve">Tanks </w:t>
      </w:r>
      <w:r w:rsidR="00364B4F">
        <w:t>den Druck abzusenken</w:t>
      </w:r>
      <w:r w:rsidR="005C1709">
        <w:t xml:space="preserve">. Dazu wurde </w:t>
      </w:r>
      <w:r>
        <w:t>jedoch zu diesem Zeitpunkt kein</w:t>
      </w:r>
      <w:r w:rsidR="005C1709">
        <w:t>e Entscheidung getroffen.</w:t>
      </w:r>
    </w:p>
    <w:p w:rsidR="005C1709" w:rsidRDefault="005C1709" w:rsidP="001759D2">
      <w:pPr>
        <w:tabs>
          <w:tab w:val="clear" w:pos="1276"/>
          <w:tab w:val="left" w:pos="1418"/>
          <w:tab w:val="left" w:pos="2977"/>
          <w:tab w:val="left" w:pos="4395"/>
        </w:tabs>
      </w:pPr>
    </w:p>
    <w:p w:rsidR="001759D2" w:rsidRDefault="001759D2" w:rsidP="005C1709">
      <w:pPr>
        <w:tabs>
          <w:tab w:val="clear" w:pos="1276"/>
          <w:tab w:val="left" w:pos="1418"/>
          <w:tab w:val="left" w:pos="2977"/>
          <w:tab w:val="left" w:pos="4395"/>
        </w:tabs>
        <w:ind w:left="425" w:hanging="425"/>
      </w:pPr>
      <w:r>
        <w:t>18.</w:t>
      </w:r>
      <w:r>
        <w:tab/>
        <w:t xml:space="preserve">Es </w:t>
      </w:r>
      <w:r w:rsidR="005C1709">
        <w:t>wird</w:t>
      </w:r>
      <w:r>
        <w:t xml:space="preserve"> die Frage aufgeworfen, ob der Absender des gefüllten Tan</w:t>
      </w:r>
      <w:r w:rsidR="005C1709">
        <w:t xml:space="preserve">ks auch der Absender des </w:t>
      </w:r>
      <w:r>
        <w:t xml:space="preserve">ungereinigten </w:t>
      </w:r>
      <w:r w:rsidR="005C1709">
        <w:t xml:space="preserve">leeren </w:t>
      </w:r>
      <w:r>
        <w:t xml:space="preserve">Tanks </w:t>
      </w:r>
      <w:r w:rsidR="005C1709">
        <w:t>bei</w:t>
      </w:r>
      <w:r>
        <w:t xml:space="preserve"> der Rück</w:t>
      </w:r>
      <w:r w:rsidR="005C1709">
        <w:t>beförderung</w:t>
      </w:r>
      <w:r>
        <w:t xml:space="preserve"> </w:t>
      </w:r>
      <w:r w:rsidR="005C1709">
        <w:t>ist</w:t>
      </w:r>
      <w:r>
        <w:t xml:space="preserve">. Es </w:t>
      </w:r>
      <w:r w:rsidR="005C1709">
        <w:t>wird</w:t>
      </w:r>
      <w:r>
        <w:t xml:space="preserve"> bestätigt, dass es sich in der Praxis bei dem Absender um verschiedene </w:t>
      </w:r>
      <w:r w:rsidR="005C1709">
        <w:t>Beteiligte</w:t>
      </w:r>
      <w:r>
        <w:t xml:space="preserve"> handeln kann, z.</w:t>
      </w:r>
      <w:r w:rsidR="005C1709">
        <w:t> </w:t>
      </w:r>
      <w:r>
        <w:t xml:space="preserve">B. um den Gashersteller selbst oder den Lieferanten des Tanks. Es </w:t>
      </w:r>
      <w:r w:rsidR="005C1709">
        <w:t>wird</w:t>
      </w:r>
      <w:r>
        <w:t xml:space="preserve"> </w:t>
      </w:r>
      <w:r w:rsidR="005C1709">
        <w:t>als</w:t>
      </w:r>
      <w:r>
        <w:t xml:space="preserve"> notwendig erachtet</w:t>
      </w:r>
      <w:r w:rsidR="00AB46E8">
        <w:t xml:space="preserve"> klarzustellen</w:t>
      </w:r>
      <w:r>
        <w:t xml:space="preserve">, </w:t>
      </w:r>
      <w:r w:rsidR="00AB46E8">
        <w:t xml:space="preserve">dass es </w:t>
      </w:r>
      <w:r>
        <w:t xml:space="preserve">die </w:t>
      </w:r>
      <w:r w:rsidR="005C1709">
        <w:t>Pflicht</w:t>
      </w:r>
      <w:r>
        <w:t xml:space="preserve"> des Absenders </w:t>
      </w:r>
      <w:r w:rsidR="00AB46E8">
        <w:t>ist, die</w:t>
      </w:r>
      <w:r>
        <w:t xml:space="preserve"> tatsächliche Haltezeit </w:t>
      </w:r>
      <w:r w:rsidR="00AB46E8">
        <w:t>zu berechnen</w:t>
      </w:r>
      <w:r>
        <w:t xml:space="preserve"> bzw. im Falle ungereinigter </w:t>
      </w:r>
      <w:r w:rsidR="005C1709">
        <w:t xml:space="preserve">leere </w:t>
      </w:r>
      <w:r>
        <w:t xml:space="preserve">Tanks sicherzustellen, dass der Druck ausreichend </w:t>
      </w:r>
      <w:r w:rsidR="00AB46E8">
        <w:t>abgesenkt</w:t>
      </w:r>
      <w:r>
        <w:t xml:space="preserve"> wird.</w:t>
      </w:r>
    </w:p>
    <w:p w:rsidR="00AB46E8" w:rsidRDefault="00AB46E8" w:rsidP="00AB46E8">
      <w:pPr>
        <w:tabs>
          <w:tab w:val="clear" w:pos="1276"/>
          <w:tab w:val="left" w:pos="1418"/>
          <w:tab w:val="left" w:pos="2977"/>
          <w:tab w:val="left" w:pos="4395"/>
        </w:tabs>
      </w:pPr>
    </w:p>
    <w:p w:rsidR="00AB46E8" w:rsidRDefault="00AB46E8" w:rsidP="00AB46E8">
      <w:pPr>
        <w:tabs>
          <w:tab w:val="clear" w:pos="425"/>
          <w:tab w:val="clear" w:pos="851"/>
          <w:tab w:val="clear" w:pos="1276"/>
          <w:tab w:val="left" w:pos="1418"/>
        </w:tabs>
        <w:ind w:left="425"/>
        <w:rPr>
          <w:rFonts w:cs="Arial"/>
          <w:b/>
          <w:szCs w:val="22"/>
        </w:rPr>
      </w:pPr>
      <w:r>
        <w:rPr>
          <w:rFonts w:cs="Arial"/>
          <w:b/>
          <w:szCs w:val="22"/>
        </w:rPr>
        <w:t>Antrag 6 (für die Ausgabe 2025 des RID/ADR)</w:t>
      </w:r>
    </w:p>
    <w:p w:rsidR="00AB46E8" w:rsidRDefault="00AB46E8" w:rsidP="00AB46E8">
      <w:pPr>
        <w:tabs>
          <w:tab w:val="clear" w:pos="1276"/>
          <w:tab w:val="left" w:pos="1418"/>
          <w:tab w:val="left" w:pos="2977"/>
          <w:tab w:val="left" w:pos="4395"/>
        </w:tabs>
        <w:ind w:left="850" w:hanging="425"/>
      </w:pPr>
    </w:p>
    <w:p w:rsidR="00AB46E8" w:rsidRDefault="00AB46E8" w:rsidP="00EE22B8">
      <w:pPr>
        <w:tabs>
          <w:tab w:val="clear" w:pos="1276"/>
          <w:tab w:val="left" w:pos="1701"/>
          <w:tab w:val="left" w:pos="2977"/>
          <w:tab w:val="left" w:pos="4395"/>
        </w:tabs>
        <w:ind w:left="1701" w:hanging="1276"/>
      </w:pPr>
      <w:r>
        <w:rPr>
          <w:b/>
        </w:rPr>
        <w:t>1.4.2.1.</w:t>
      </w:r>
      <w:r w:rsidRPr="00AB46E8">
        <w:rPr>
          <w:b/>
        </w:rPr>
        <w:t>1</w:t>
      </w:r>
      <w:r>
        <w:tab/>
        <w:t>Folgenden neuen Absatz f) hinzufügen:</w:t>
      </w:r>
    </w:p>
    <w:p w:rsidR="00AB46E8" w:rsidRDefault="00AB46E8" w:rsidP="00EE22B8">
      <w:pPr>
        <w:tabs>
          <w:tab w:val="clear" w:pos="1276"/>
          <w:tab w:val="left" w:pos="1400"/>
          <w:tab w:val="left" w:pos="1701"/>
          <w:tab w:val="left" w:pos="4395"/>
        </w:tabs>
        <w:ind w:left="1701"/>
      </w:pPr>
    </w:p>
    <w:p w:rsidR="00AB46E8" w:rsidRPr="00331CAA" w:rsidRDefault="00AB46E8" w:rsidP="00EE22B8">
      <w:pPr>
        <w:tabs>
          <w:tab w:val="clear" w:pos="1276"/>
          <w:tab w:val="left" w:pos="1400"/>
          <w:tab w:val="left" w:pos="1701"/>
          <w:tab w:val="left" w:pos="4395"/>
        </w:tabs>
        <w:ind w:left="1701"/>
      </w:pPr>
      <w:r>
        <w:t>(RID:)</w:t>
      </w:r>
    </w:p>
    <w:p w:rsidR="00AB46E8" w:rsidRDefault="00AB46E8" w:rsidP="00EE22B8">
      <w:pPr>
        <w:tabs>
          <w:tab w:val="clear" w:pos="1276"/>
          <w:tab w:val="left" w:pos="1400"/>
          <w:tab w:val="left" w:pos="1701"/>
          <w:tab w:val="left" w:pos="4395"/>
        </w:tabs>
        <w:ind w:left="2002" w:hanging="301"/>
      </w:pPr>
      <w:r>
        <w:t>"</w:t>
      </w:r>
      <w:r w:rsidRPr="00331CAA">
        <w:t>f)</w:t>
      </w:r>
      <w:r w:rsidRPr="00331CAA">
        <w:tab/>
        <w:t>bei Tanks zur Beförderung tiefgekühlt verflüssigter Gase dafür zu sorgen, dass die tatsächliche Haltezeit bestimmt wird, oder bei ungereinigten leeren Tanks dafür zu sorgen, dass der Druck ausreichend abgesenkt wird."</w:t>
      </w:r>
    </w:p>
    <w:p w:rsidR="00AB46E8" w:rsidRDefault="00AB46E8" w:rsidP="00EE22B8">
      <w:pPr>
        <w:tabs>
          <w:tab w:val="clear" w:pos="1276"/>
          <w:tab w:val="left" w:pos="1400"/>
          <w:tab w:val="left" w:pos="1701"/>
          <w:tab w:val="left" w:pos="4395"/>
        </w:tabs>
        <w:ind w:left="2002" w:hanging="301"/>
      </w:pPr>
    </w:p>
    <w:p w:rsidR="00AB46E8" w:rsidRPr="00331CAA" w:rsidRDefault="00AB46E8" w:rsidP="00EE22B8">
      <w:pPr>
        <w:tabs>
          <w:tab w:val="clear" w:pos="1276"/>
          <w:tab w:val="left" w:pos="1400"/>
          <w:tab w:val="left" w:pos="1701"/>
          <w:tab w:val="left" w:pos="4395"/>
        </w:tabs>
        <w:ind w:left="2002" w:hanging="301"/>
      </w:pPr>
      <w:r>
        <w:t>(ADR:)</w:t>
      </w:r>
    </w:p>
    <w:p w:rsidR="00AB46E8" w:rsidRDefault="00AB46E8" w:rsidP="00EE22B8">
      <w:pPr>
        <w:tabs>
          <w:tab w:val="clear" w:pos="1276"/>
          <w:tab w:val="left" w:pos="1400"/>
          <w:tab w:val="left" w:pos="1701"/>
          <w:tab w:val="left" w:pos="4395"/>
        </w:tabs>
        <w:ind w:left="2002" w:hanging="301"/>
      </w:pPr>
      <w:r>
        <w:t>"</w:t>
      </w:r>
      <w:r w:rsidRPr="00331CAA">
        <w:t>f)</w:t>
      </w:r>
      <w:r w:rsidRPr="00331CAA">
        <w:tab/>
        <w:t xml:space="preserve">bei </w:t>
      </w:r>
      <w:r>
        <w:t>Tankcontainern und ortsbeweglichen Tanks</w:t>
      </w:r>
      <w:r w:rsidRPr="00331CAA">
        <w:t xml:space="preserve"> zur Beförderung tiefgekühlt verflüssigter Gase dafür zu sorgen, dass</w:t>
      </w:r>
      <w:r>
        <w:t>, sofern erforderlich,</w:t>
      </w:r>
      <w:r w:rsidRPr="00331CAA">
        <w:t xml:space="preserve"> die tatsächliche Haltezeit bestimmt wird, oder bei ungereinigten leeren </w:t>
      </w:r>
      <w:r w:rsidR="00267E5A">
        <w:t>Tankcontainern und ortsbeweglichen Tanks</w:t>
      </w:r>
      <w:r w:rsidRPr="00331CAA">
        <w:t xml:space="preserve"> dafür zu sorgen, dass der Druck ausreichend abgesenkt wird."</w:t>
      </w:r>
    </w:p>
    <w:p w:rsidR="00364B4F" w:rsidRPr="00364B4F" w:rsidRDefault="00364B4F" w:rsidP="00267E5A">
      <w:pPr>
        <w:widowControl w:val="0"/>
        <w:tabs>
          <w:tab w:val="clear" w:pos="851"/>
          <w:tab w:val="clear" w:pos="1276"/>
          <w:tab w:val="left" w:pos="993"/>
        </w:tabs>
        <w:ind w:left="993" w:hanging="993"/>
        <w:rPr>
          <w:rFonts w:cs="Arial"/>
          <w:szCs w:val="22"/>
        </w:rPr>
      </w:pPr>
    </w:p>
    <w:p w:rsidR="00267E5A" w:rsidRDefault="00267E5A" w:rsidP="00267E5A">
      <w:pPr>
        <w:widowControl w:val="0"/>
        <w:tabs>
          <w:tab w:val="clear" w:pos="851"/>
          <w:tab w:val="clear" w:pos="1276"/>
          <w:tab w:val="left" w:pos="993"/>
        </w:tabs>
        <w:ind w:left="993" w:hanging="993"/>
      </w:pPr>
      <w:r w:rsidRPr="00FD05CA">
        <w:rPr>
          <w:rFonts w:cs="Arial"/>
          <w:b/>
          <w:szCs w:val="22"/>
        </w:rPr>
        <w:t xml:space="preserve">TOP </w:t>
      </w:r>
      <w:r>
        <w:rPr>
          <w:rFonts w:cs="Arial"/>
          <w:b/>
          <w:szCs w:val="22"/>
        </w:rPr>
        <w:t>8</w:t>
      </w:r>
      <w:r w:rsidRPr="00FD05CA">
        <w:rPr>
          <w:rFonts w:cs="Arial"/>
          <w:b/>
          <w:szCs w:val="22"/>
        </w:rPr>
        <w:t>:</w:t>
      </w:r>
      <w:r w:rsidRPr="00267E5A">
        <w:rPr>
          <w:rFonts w:cs="Arial"/>
          <w:b/>
          <w:szCs w:val="22"/>
        </w:rPr>
        <w:tab/>
      </w:r>
      <w:r w:rsidRPr="00267E5A">
        <w:rPr>
          <w:b/>
        </w:rPr>
        <w:t>Orangefarbener Streifen an Kesselwagen</w:t>
      </w:r>
    </w:p>
    <w:p w:rsidR="00267E5A" w:rsidRPr="00FD05CA" w:rsidRDefault="00267E5A" w:rsidP="00267E5A">
      <w:pPr>
        <w:tabs>
          <w:tab w:val="clear" w:pos="425"/>
          <w:tab w:val="clear" w:pos="851"/>
          <w:tab w:val="clear" w:pos="1276"/>
          <w:tab w:val="left" w:pos="0"/>
          <w:tab w:val="left" w:pos="1843"/>
          <w:tab w:val="left" w:pos="2977"/>
          <w:tab w:val="left" w:pos="4395"/>
        </w:tabs>
        <w:ind w:left="1276" w:hanging="851"/>
        <w:rPr>
          <w:rFonts w:cs="Arial"/>
          <w:szCs w:val="22"/>
        </w:rPr>
      </w:pPr>
    </w:p>
    <w:p w:rsidR="00267E5A" w:rsidRDefault="00267E5A" w:rsidP="00267E5A">
      <w:pPr>
        <w:tabs>
          <w:tab w:val="clear" w:pos="425"/>
          <w:tab w:val="clear" w:pos="851"/>
          <w:tab w:val="clear" w:pos="1276"/>
          <w:tab w:val="left" w:pos="567"/>
          <w:tab w:val="left" w:pos="993"/>
        </w:tabs>
        <w:ind w:left="2836" w:hanging="2411"/>
        <w:jc w:val="left"/>
        <w:rPr>
          <w:rFonts w:cs="Arial"/>
          <w:szCs w:val="22"/>
        </w:rPr>
      </w:pPr>
      <w:r>
        <w:rPr>
          <w:rFonts w:cs="Arial"/>
          <w:i/>
          <w:szCs w:val="22"/>
        </w:rPr>
        <w:t xml:space="preserve">Informelle </w:t>
      </w:r>
      <w:r w:rsidRPr="00922FF6">
        <w:rPr>
          <w:rFonts w:cs="Arial"/>
          <w:i/>
          <w:szCs w:val="22"/>
        </w:rPr>
        <w:t>Dokument</w:t>
      </w:r>
      <w:r>
        <w:rPr>
          <w:rFonts w:cs="Arial"/>
          <w:i/>
          <w:szCs w:val="22"/>
        </w:rPr>
        <w:t>e</w:t>
      </w:r>
      <w:r w:rsidRPr="00922FF6">
        <w:rPr>
          <w:rFonts w:cs="Arial"/>
          <w:i/>
          <w:szCs w:val="22"/>
        </w:rPr>
        <w:t>:</w:t>
      </w:r>
      <w:r w:rsidRPr="00922FF6">
        <w:rPr>
          <w:rFonts w:cs="Arial"/>
          <w:i/>
          <w:szCs w:val="22"/>
        </w:rPr>
        <w:tab/>
      </w:r>
      <w:r>
        <w:rPr>
          <w:rFonts w:cs="Arial"/>
          <w:szCs w:val="22"/>
        </w:rPr>
        <w:t>INF.5</w:t>
      </w:r>
      <w:r w:rsidRPr="00922FF6">
        <w:rPr>
          <w:rFonts w:cs="Arial"/>
          <w:szCs w:val="22"/>
        </w:rPr>
        <w:t xml:space="preserve"> (</w:t>
      </w:r>
      <w:r>
        <w:rPr>
          <w:rFonts w:cs="Arial"/>
          <w:szCs w:val="22"/>
        </w:rPr>
        <w:t>UIP</w:t>
      </w:r>
      <w:r w:rsidRPr="00922FF6">
        <w:rPr>
          <w:rFonts w:cs="Arial"/>
          <w:szCs w:val="22"/>
        </w:rPr>
        <w:t>)</w:t>
      </w:r>
    </w:p>
    <w:p w:rsidR="00267E5A" w:rsidRDefault="00267E5A" w:rsidP="00267E5A">
      <w:pPr>
        <w:tabs>
          <w:tab w:val="clear" w:pos="425"/>
          <w:tab w:val="clear" w:pos="851"/>
          <w:tab w:val="clear" w:pos="1276"/>
          <w:tab w:val="left" w:pos="567"/>
          <w:tab w:val="left" w:pos="993"/>
        </w:tabs>
        <w:ind w:left="5247" w:hanging="2411"/>
        <w:jc w:val="left"/>
        <w:rPr>
          <w:rFonts w:cs="Arial"/>
          <w:szCs w:val="22"/>
        </w:rPr>
      </w:pPr>
      <w:r>
        <w:rPr>
          <w:rFonts w:cs="Arial"/>
          <w:szCs w:val="22"/>
        </w:rPr>
        <w:t>INF.17 (Belgien)</w:t>
      </w:r>
    </w:p>
    <w:p w:rsidR="00267E5A" w:rsidRDefault="00267E5A" w:rsidP="00267E5A">
      <w:pPr>
        <w:tabs>
          <w:tab w:val="clear" w:pos="425"/>
          <w:tab w:val="clear" w:pos="851"/>
          <w:tab w:val="clear" w:pos="1276"/>
          <w:tab w:val="left" w:pos="567"/>
          <w:tab w:val="left" w:pos="993"/>
        </w:tabs>
        <w:ind w:left="2411" w:hanging="2411"/>
        <w:jc w:val="left"/>
        <w:rPr>
          <w:rFonts w:cs="Arial"/>
          <w:szCs w:val="22"/>
        </w:rPr>
      </w:pPr>
    </w:p>
    <w:p w:rsidR="00267E5A" w:rsidRDefault="00267E5A" w:rsidP="00267E5A">
      <w:pPr>
        <w:tabs>
          <w:tab w:val="clear" w:pos="1276"/>
          <w:tab w:val="left" w:pos="1418"/>
          <w:tab w:val="left" w:pos="2977"/>
          <w:tab w:val="left" w:pos="4395"/>
        </w:tabs>
        <w:ind w:left="425" w:hanging="425"/>
        <w:rPr>
          <w:rFonts w:cs="Arial"/>
          <w:szCs w:val="22"/>
        </w:rPr>
      </w:pPr>
      <w:r w:rsidRPr="00267E5A">
        <w:t>19</w:t>
      </w:r>
      <w:r w:rsidRPr="00267E5A">
        <w:rPr>
          <w:rFonts w:cs="Arial"/>
          <w:szCs w:val="22"/>
        </w:rPr>
        <w:t>.</w:t>
      </w:r>
      <w:r w:rsidRPr="00267E5A">
        <w:rPr>
          <w:rFonts w:cs="Arial"/>
          <w:szCs w:val="22"/>
        </w:rPr>
        <w:tab/>
        <w:t xml:space="preserve">Es wird die Frage aufgeworfen, ob die Kennzeichnung mit </w:t>
      </w:r>
      <w:r>
        <w:rPr>
          <w:rFonts w:cs="Arial"/>
          <w:szCs w:val="22"/>
        </w:rPr>
        <w:t>einem</w:t>
      </w:r>
      <w:r w:rsidRPr="00267E5A">
        <w:rPr>
          <w:rFonts w:cs="Arial"/>
          <w:szCs w:val="22"/>
        </w:rPr>
        <w:t xml:space="preserve"> orangefarbenen </w:t>
      </w:r>
      <w:r>
        <w:rPr>
          <w:rFonts w:cs="Arial"/>
          <w:szCs w:val="22"/>
        </w:rPr>
        <w:t>Streifen</w:t>
      </w:r>
      <w:r w:rsidRPr="00267E5A">
        <w:rPr>
          <w:rFonts w:cs="Arial"/>
          <w:szCs w:val="22"/>
        </w:rPr>
        <w:t xml:space="preserve"> für Gas-Kesselwagen in Abschnitt 5.3.5 und </w:t>
      </w:r>
      <w:r>
        <w:rPr>
          <w:rFonts w:cs="Arial"/>
          <w:szCs w:val="22"/>
        </w:rPr>
        <w:t xml:space="preserve">in </w:t>
      </w:r>
      <w:r w:rsidRPr="00267E5A">
        <w:rPr>
          <w:rFonts w:cs="Arial"/>
          <w:szCs w:val="22"/>
        </w:rPr>
        <w:t>der Sondervorschrift TM</w:t>
      </w:r>
      <w:r>
        <w:rPr>
          <w:rFonts w:cs="Arial"/>
          <w:szCs w:val="22"/>
        </w:rPr>
        <w:t> </w:t>
      </w:r>
      <w:r w:rsidRPr="00267E5A">
        <w:rPr>
          <w:rFonts w:cs="Arial"/>
          <w:szCs w:val="22"/>
        </w:rPr>
        <w:t xml:space="preserve">6 des Abschnitts 6.8.4 RID noch </w:t>
      </w:r>
      <w:r>
        <w:rPr>
          <w:rFonts w:cs="Arial"/>
          <w:szCs w:val="22"/>
        </w:rPr>
        <w:t>nützlich</w:t>
      </w:r>
      <w:r w:rsidRPr="00267E5A">
        <w:rPr>
          <w:rFonts w:cs="Arial"/>
          <w:szCs w:val="22"/>
        </w:rPr>
        <w:t xml:space="preserve"> ist oder ob die Vorschrift für </w:t>
      </w:r>
      <w:r>
        <w:rPr>
          <w:rFonts w:cs="Arial"/>
          <w:szCs w:val="22"/>
        </w:rPr>
        <w:t>den</w:t>
      </w:r>
      <w:r w:rsidRPr="00267E5A">
        <w:rPr>
          <w:rFonts w:cs="Arial"/>
          <w:szCs w:val="22"/>
        </w:rPr>
        <w:t xml:space="preserve"> orangefarbene</w:t>
      </w:r>
      <w:r>
        <w:rPr>
          <w:rFonts w:cs="Arial"/>
          <w:szCs w:val="22"/>
        </w:rPr>
        <w:t>n</w:t>
      </w:r>
      <w:r w:rsidRPr="00267E5A">
        <w:rPr>
          <w:rFonts w:cs="Arial"/>
          <w:szCs w:val="22"/>
        </w:rPr>
        <w:t xml:space="preserve"> </w:t>
      </w:r>
      <w:r>
        <w:rPr>
          <w:rFonts w:cs="Arial"/>
          <w:szCs w:val="22"/>
        </w:rPr>
        <w:t>Streifen</w:t>
      </w:r>
      <w:r w:rsidRPr="00267E5A">
        <w:rPr>
          <w:rFonts w:cs="Arial"/>
          <w:szCs w:val="22"/>
        </w:rPr>
        <w:t xml:space="preserve"> gestrichen werden kann. Die Frage zu</w:t>
      </w:r>
      <w:r>
        <w:rPr>
          <w:rFonts w:cs="Arial"/>
          <w:szCs w:val="22"/>
        </w:rPr>
        <w:t>r Sondervorschrift</w:t>
      </w:r>
      <w:r w:rsidRPr="00267E5A">
        <w:rPr>
          <w:rFonts w:cs="Arial"/>
          <w:szCs w:val="22"/>
        </w:rPr>
        <w:t xml:space="preserve"> TM</w:t>
      </w:r>
      <w:r>
        <w:rPr>
          <w:rFonts w:cs="Arial"/>
          <w:szCs w:val="22"/>
        </w:rPr>
        <w:t> </w:t>
      </w:r>
      <w:r w:rsidRPr="00267E5A">
        <w:rPr>
          <w:rFonts w:cs="Arial"/>
          <w:szCs w:val="22"/>
        </w:rPr>
        <w:t>6 stammt aus der Gruppe der benannten Stellen der TPED</w:t>
      </w:r>
      <w:r>
        <w:rPr>
          <w:rFonts w:cs="Arial"/>
          <w:szCs w:val="22"/>
        </w:rPr>
        <w:t>-Richtlinie</w:t>
      </w:r>
      <w:r w:rsidRPr="00267E5A">
        <w:rPr>
          <w:rFonts w:cs="Arial"/>
          <w:szCs w:val="22"/>
        </w:rPr>
        <w:t xml:space="preserve">. In dieser Gruppe wurde beschlossen, dass die </w:t>
      </w:r>
      <w:r>
        <w:rPr>
          <w:rFonts w:cs="Arial"/>
          <w:szCs w:val="22"/>
        </w:rPr>
        <w:t>Überprüfung</w:t>
      </w:r>
      <w:r w:rsidRPr="00267E5A">
        <w:rPr>
          <w:rFonts w:cs="Arial"/>
          <w:szCs w:val="22"/>
        </w:rPr>
        <w:t xml:space="preserve"> der </w:t>
      </w:r>
      <w:r>
        <w:rPr>
          <w:rFonts w:cs="Arial"/>
          <w:szCs w:val="22"/>
        </w:rPr>
        <w:t>Konformität</w:t>
      </w:r>
      <w:r w:rsidRPr="00267E5A">
        <w:rPr>
          <w:rFonts w:cs="Arial"/>
          <w:szCs w:val="22"/>
        </w:rPr>
        <w:t xml:space="preserve"> des </w:t>
      </w:r>
      <w:r>
        <w:rPr>
          <w:rFonts w:cs="Arial"/>
          <w:szCs w:val="22"/>
        </w:rPr>
        <w:t>Streifens</w:t>
      </w:r>
      <w:r w:rsidRPr="00267E5A">
        <w:rPr>
          <w:rFonts w:cs="Arial"/>
          <w:szCs w:val="22"/>
        </w:rPr>
        <w:t xml:space="preserve"> und der Farbspezifikationen nicht in ihre Zuständigkeit fällt.</w:t>
      </w:r>
    </w:p>
    <w:p w:rsidR="00267E5A" w:rsidRPr="00267E5A" w:rsidRDefault="00267E5A" w:rsidP="00267E5A">
      <w:pPr>
        <w:tabs>
          <w:tab w:val="clear" w:pos="1276"/>
          <w:tab w:val="left" w:pos="1418"/>
          <w:tab w:val="left" w:pos="2977"/>
          <w:tab w:val="left" w:pos="4395"/>
        </w:tabs>
        <w:ind w:left="425" w:hanging="425"/>
        <w:rPr>
          <w:rFonts w:cs="Arial"/>
          <w:szCs w:val="22"/>
        </w:rPr>
      </w:pPr>
    </w:p>
    <w:p w:rsidR="00267E5A" w:rsidRDefault="00267E5A" w:rsidP="00267E5A">
      <w:pPr>
        <w:tabs>
          <w:tab w:val="clear" w:pos="1276"/>
          <w:tab w:val="left" w:pos="1418"/>
          <w:tab w:val="left" w:pos="2977"/>
          <w:tab w:val="left" w:pos="4395"/>
        </w:tabs>
        <w:ind w:left="425" w:hanging="425"/>
        <w:rPr>
          <w:rFonts w:cs="Arial"/>
          <w:szCs w:val="22"/>
        </w:rPr>
      </w:pPr>
      <w:r>
        <w:rPr>
          <w:rFonts w:cs="Arial"/>
          <w:szCs w:val="22"/>
        </w:rPr>
        <w:t>20.</w:t>
      </w:r>
      <w:r>
        <w:rPr>
          <w:rFonts w:cs="Arial"/>
          <w:szCs w:val="22"/>
        </w:rPr>
        <w:tab/>
        <w:t>Der</w:t>
      </w:r>
      <w:r w:rsidRPr="00267E5A">
        <w:rPr>
          <w:rFonts w:cs="Arial"/>
          <w:szCs w:val="22"/>
        </w:rPr>
        <w:t xml:space="preserve"> orangefarbene </w:t>
      </w:r>
      <w:r>
        <w:rPr>
          <w:rFonts w:cs="Arial"/>
          <w:szCs w:val="22"/>
        </w:rPr>
        <w:t>Streifen</w:t>
      </w:r>
      <w:r w:rsidRPr="00267E5A">
        <w:rPr>
          <w:rFonts w:cs="Arial"/>
          <w:szCs w:val="22"/>
        </w:rPr>
        <w:t xml:space="preserve"> gilt nicht für Tankfahrzeuge oder Tankcontainer, und es gab </w:t>
      </w:r>
      <w:r>
        <w:rPr>
          <w:rFonts w:cs="Arial"/>
          <w:szCs w:val="22"/>
        </w:rPr>
        <w:t xml:space="preserve">in der Vergangenheit auch </w:t>
      </w:r>
      <w:r w:rsidRPr="00267E5A">
        <w:rPr>
          <w:rFonts w:cs="Arial"/>
          <w:szCs w:val="22"/>
        </w:rPr>
        <w:t xml:space="preserve">keine Unterstützung für die Einführung </w:t>
      </w:r>
      <w:r>
        <w:rPr>
          <w:rFonts w:cs="Arial"/>
          <w:szCs w:val="22"/>
        </w:rPr>
        <w:t xml:space="preserve">dieses Streifens </w:t>
      </w:r>
      <w:r w:rsidRPr="00267E5A">
        <w:rPr>
          <w:rFonts w:cs="Arial"/>
          <w:szCs w:val="22"/>
        </w:rPr>
        <w:t xml:space="preserve">für </w:t>
      </w:r>
      <w:r>
        <w:rPr>
          <w:rFonts w:cs="Arial"/>
          <w:szCs w:val="22"/>
        </w:rPr>
        <w:t>Tankf</w:t>
      </w:r>
      <w:r w:rsidRPr="00267E5A">
        <w:rPr>
          <w:rFonts w:cs="Arial"/>
          <w:szCs w:val="22"/>
        </w:rPr>
        <w:t>ahrzeuge</w:t>
      </w:r>
      <w:r>
        <w:rPr>
          <w:rFonts w:cs="Arial"/>
          <w:szCs w:val="22"/>
        </w:rPr>
        <w:t xml:space="preserve"> und Tankcontainer</w:t>
      </w:r>
      <w:r w:rsidRPr="00267E5A">
        <w:rPr>
          <w:rFonts w:cs="Arial"/>
          <w:szCs w:val="22"/>
        </w:rPr>
        <w:t xml:space="preserve">. Mehrere </w:t>
      </w:r>
      <w:r>
        <w:rPr>
          <w:rFonts w:cs="Arial"/>
          <w:szCs w:val="22"/>
        </w:rPr>
        <w:t>Experten</w:t>
      </w:r>
      <w:r w:rsidRPr="00267E5A">
        <w:rPr>
          <w:rFonts w:cs="Arial"/>
          <w:szCs w:val="22"/>
        </w:rPr>
        <w:t xml:space="preserve"> </w:t>
      </w:r>
      <w:r>
        <w:rPr>
          <w:rFonts w:cs="Arial"/>
          <w:szCs w:val="22"/>
        </w:rPr>
        <w:t>sind</w:t>
      </w:r>
      <w:r w:rsidRPr="00267E5A">
        <w:rPr>
          <w:rFonts w:cs="Arial"/>
          <w:szCs w:val="22"/>
        </w:rPr>
        <w:t xml:space="preserve"> mit der Streichung der V</w:t>
      </w:r>
      <w:r>
        <w:rPr>
          <w:rFonts w:cs="Arial"/>
          <w:szCs w:val="22"/>
        </w:rPr>
        <w:t xml:space="preserve">orschriften nicht einverstanden. Im informellen Dokument </w:t>
      </w:r>
      <w:r w:rsidRPr="00267E5A">
        <w:rPr>
          <w:rFonts w:cs="Arial"/>
          <w:szCs w:val="22"/>
        </w:rPr>
        <w:t>INF.17 werden Argumente gegen die Streichung der Vorschriften für den ora</w:t>
      </w:r>
      <w:r>
        <w:rPr>
          <w:rFonts w:cs="Arial"/>
          <w:szCs w:val="22"/>
        </w:rPr>
        <w:t>ngefarbenen Streifen angeführt.</w:t>
      </w:r>
    </w:p>
    <w:p w:rsidR="00267E5A" w:rsidRPr="00267E5A" w:rsidRDefault="00267E5A" w:rsidP="00267E5A">
      <w:pPr>
        <w:tabs>
          <w:tab w:val="clear" w:pos="1276"/>
          <w:tab w:val="left" w:pos="1418"/>
          <w:tab w:val="left" w:pos="2977"/>
          <w:tab w:val="left" w:pos="4395"/>
        </w:tabs>
        <w:ind w:left="425" w:hanging="425"/>
        <w:rPr>
          <w:rFonts w:cs="Arial"/>
          <w:szCs w:val="22"/>
        </w:rPr>
      </w:pPr>
    </w:p>
    <w:p w:rsidR="00267E5A" w:rsidRPr="00267E5A" w:rsidRDefault="00267E5A" w:rsidP="00267E5A">
      <w:pPr>
        <w:tabs>
          <w:tab w:val="clear" w:pos="1276"/>
          <w:tab w:val="left" w:pos="1418"/>
          <w:tab w:val="left" w:pos="2977"/>
          <w:tab w:val="left" w:pos="4395"/>
        </w:tabs>
        <w:ind w:left="425" w:hanging="425"/>
        <w:rPr>
          <w:rFonts w:cs="Arial"/>
          <w:szCs w:val="22"/>
        </w:rPr>
      </w:pPr>
      <w:r w:rsidRPr="00267E5A">
        <w:rPr>
          <w:rFonts w:cs="Arial"/>
          <w:szCs w:val="22"/>
        </w:rPr>
        <w:t>21.</w:t>
      </w:r>
      <w:r w:rsidRPr="00267E5A">
        <w:rPr>
          <w:rFonts w:cs="Arial"/>
          <w:szCs w:val="22"/>
        </w:rPr>
        <w:tab/>
        <w:t xml:space="preserve">Wie </w:t>
      </w:r>
      <w:r w:rsidR="00CC0A4F">
        <w:rPr>
          <w:rFonts w:cs="Arial"/>
          <w:szCs w:val="22"/>
        </w:rPr>
        <w:t xml:space="preserve">bereits </w:t>
      </w:r>
      <w:r w:rsidRPr="00267E5A">
        <w:rPr>
          <w:rFonts w:cs="Arial"/>
          <w:szCs w:val="22"/>
        </w:rPr>
        <w:t xml:space="preserve">von der Gruppe der benannten Stellen hervorgehoben, ist die Spezifikation </w:t>
      </w:r>
      <w:r w:rsidR="00CC0A4F">
        <w:rPr>
          <w:rFonts w:cs="Arial"/>
          <w:szCs w:val="22"/>
        </w:rPr>
        <w:t>der</w:t>
      </w:r>
      <w:r w:rsidRPr="00267E5A">
        <w:rPr>
          <w:rFonts w:cs="Arial"/>
          <w:szCs w:val="22"/>
        </w:rPr>
        <w:t xml:space="preserve"> orange</w:t>
      </w:r>
      <w:r w:rsidR="00CC0A4F">
        <w:rPr>
          <w:rFonts w:cs="Arial"/>
          <w:szCs w:val="22"/>
        </w:rPr>
        <w:t>n Farbe, wie sie in der Bemerkung</w:t>
      </w:r>
      <w:r w:rsidRPr="00267E5A">
        <w:rPr>
          <w:rFonts w:cs="Arial"/>
          <w:szCs w:val="22"/>
        </w:rPr>
        <w:t xml:space="preserve"> zu Absatz 5.3.2.2.1 des RID definiert ist, schwer zu messen. Als alternative Lösung sollte die genaue Spezifikation </w:t>
      </w:r>
      <w:r w:rsidR="00CC0A4F">
        <w:rPr>
          <w:rFonts w:cs="Arial"/>
          <w:szCs w:val="22"/>
        </w:rPr>
        <w:t>der</w:t>
      </w:r>
      <w:r w:rsidRPr="00267E5A">
        <w:rPr>
          <w:rFonts w:cs="Arial"/>
          <w:szCs w:val="22"/>
        </w:rPr>
        <w:t xml:space="preserve"> orange</w:t>
      </w:r>
      <w:r w:rsidR="00CC0A4F">
        <w:rPr>
          <w:rFonts w:cs="Arial"/>
          <w:szCs w:val="22"/>
        </w:rPr>
        <w:t>n</w:t>
      </w:r>
      <w:r w:rsidRPr="00267E5A">
        <w:rPr>
          <w:rFonts w:cs="Arial"/>
          <w:szCs w:val="22"/>
        </w:rPr>
        <w:t xml:space="preserve"> Farbe </w:t>
      </w:r>
      <w:r w:rsidR="00CC0A4F">
        <w:rPr>
          <w:rFonts w:cs="Arial"/>
          <w:szCs w:val="22"/>
        </w:rPr>
        <w:t>ausgedehnt</w:t>
      </w:r>
      <w:r w:rsidRPr="00267E5A">
        <w:rPr>
          <w:rFonts w:cs="Arial"/>
          <w:szCs w:val="22"/>
        </w:rPr>
        <w:t xml:space="preserve"> werden, </w:t>
      </w:r>
      <w:r w:rsidR="00CC0A4F">
        <w:rPr>
          <w:rFonts w:cs="Arial"/>
          <w:szCs w:val="22"/>
        </w:rPr>
        <w:t>um ein gewisses Verblassen und Ausk</w:t>
      </w:r>
      <w:r w:rsidRPr="00267E5A">
        <w:rPr>
          <w:rFonts w:cs="Arial"/>
          <w:szCs w:val="22"/>
        </w:rPr>
        <w:t>reiden der Farbe im Laufe der Zeit aufgrund der Witterung zu berücksichtigen.</w:t>
      </w:r>
    </w:p>
    <w:p w:rsidR="00F5325E" w:rsidRPr="00751AF0" w:rsidRDefault="00F5325E" w:rsidP="00F5325E">
      <w:pPr>
        <w:widowControl w:val="0"/>
        <w:ind w:left="425" w:hanging="425"/>
      </w:pPr>
    </w:p>
    <w:p w:rsidR="00F5325E" w:rsidRDefault="00F5325E" w:rsidP="00F5325E">
      <w:pPr>
        <w:widowControl w:val="0"/>
        <w:tabs>
          <w:tab w:val="clear" w:pos="851"/>
          <w:tab w:val="clear" w:pos="1276"/>
          <w:tab w:val="left" w:pos="993"/>
        </w:tabs>
        <w:ind w:left="993" w:hanging="993"/>
      </w:pPr>
      <w:r w:rsidRPr="00FD05CA">
        <w:rPr>
          <w:rFonts w:cs="Arial"/>
          <w:b/>
          <w:szCs w:val="22"/>
        </w:rPr>
        <w:t xml:space="preserve">TOP </w:t>
      </w:r>
      <w:r>
        <w:rPr>
          <w:rFonts w:cs="Arial"/>
          <w:b/>
          <w:szCs w:val="22"/>
        </w:rPr>
        <w:t>9</w:t>
      </w:r>
      <w:r w:rsidRPr="00FD05CA">
        <w:rPr>
          <w:rFonts w:cs="Arial"/>
          <w:b/>
          <w:szCs w:val="22"/>
        </w:rPr>
        <w:t>:</w:t>
      </w:r>
      <w:r w:rsidRPr="00267E5A">
        <w:rPr>
          <w:rFonts w:cs="Arial"/>
          <w:b/>
          <w:szCs w:val="22"/>
        </w:rPr>
        <w:tab/>
      </w:r>
      <w:r w:rsidRPr="00F5325E">
        <w:rPr>
          <w:b/>
        </w:rPr>
        <w:t>Anordnung von Druckentlastungseinrichtungen bzw. der Einlassöffnung der Sicherheitsventile – Anforderungen nach Absatz 6.7.3.11.1 und Absatz 6.8.3.2.9.4 RID/ADR</w:t>
      </w:r>
    </w:p>
    <w:p w:rsidR="00F5325E" w:rsidRPr="00FD05CA" w:rsidRDefault="00F5325E" w:rsidP="00F5325E">
      <w:pPr>
        <w:tabs>
          <w:tab w:val="clear" w:pos="425"/>
          <w:tab w:val="clear" w:pos="851"/>
          <w:tab w:val="clear" w:pos="1276"/>
          <w:tab w:val="left" w:pos="0"/>
          <w:tab w:val="left" w:pos="1843"/>
          <w:tab w:val="left" w:pos="2977"/>
          <w:tab w:val="left" w:pos="4395"/>
        </w:tabs>
        <w:ind w:left="1276" w:hanging="851"/>
        <w:rPr>
          <w:rFonts w:cs="Arial"/>
          <w:szCs w:val="22"/>
        </w:rPr>
      </w:pPr>
    </w:p>
    <w:p w:rsidR="00F5325E" w:rsidRDefault="00F5325E" w:rsidP="00F5325E">
      <w:pPr>
        <w:tabs>
          <w:tab w:val="clear" w:pos="425"/>
          <w:tab w:val="clear" w:pos="851"/>
          <w:tab w:val="clear" w:pos="1276"/>
          <w:tab w:val="left" w:pos="567"/>
          <w:tab w:val="left" w:pos="993"/>
        </w:tabs>
        <w:ind w:left="2836" w:hanging="2411"/>
        <w:jc w:val="left"/>
        <w:rPr>
          <w:rFonts w:cs="Arial"/>
          <w:szCs w:val="22"/>
        </w:rPr>
      </w:pPr>
      <w:r>
        <w:rPr>
          <w:rFonts w:cs="Arial"/>
          <w:i/>
          <w:szCs w:val="22"/>
        </w:rPr>
        <w:t xml:space="preserve">Informelles </w:t>
      </w:r>
      <w:r w:rsidRPr="00922FF6">
        <w:rPr>
          <w:rFonts w:cs="Arial"/>
          <w:i/>
          <w:szCs w:val="22"/>
        </w:rPr>
        <w:t>Dokument:</w:t>
      </w:r>
      <w:r w:rsidRPr="00922FF6">
        <w:rPr>
          <w:rFonts w:cs="Arial"/>
          <w:i/>
          <w:szCs w:val="22"/>
        </w:rPr>
        <w:tab/>
      </w:r>
      <w:r>
        <w:rPr>
          <w:rFonts w:cs="Arial"/>
          <w:szCs w:val="22"/>
        </w:rPr>
        <w:t>INF.10</w:t>
      </w:r>
      <w:r w:rsidRPr="00922FF6">
        <w:rPr>
          <w:rFonts w:cs="Arial"/>
          <w:szCs w:val="22"/>
        </w:rPr>
        <w:t xml:space="preserve"> (</w:t>
      </w:r>
      <w:r>
        <w:rPr>
          <w:rFonts w:cs="Arial"/>
          <w:szCs w:val="22"/>
        </w:rPr>
        <w:t>Deutschland</w:t>
      </w:r>
      <w:r w:rsidRPr="00922FF6">
        <w:rPr>
          <w:rFonts w:cs="Arial"/>
          <w:szCs w:val="22"/>
        </w:rPr>
        <w:t>)</w:t>
      </w:r>
    </w:p>
    <w:p w:rsidR="00267E5A" w:rsidRDefault="00267E5A" w:rsidP="00267E5A">
      <w:pPr>
        <w:tabs>
          <w:tab w:val="clear" w:pos="1276"/>
          <w:tab w:val="left" w:pos="1418"/>
          <w:tab w:val="left" w:pos="2977"/>
          <w:tab w:val="left" w:pos="4395"/>
        </w:tabs>
      </w:pPr>
    </w:p>
    <w:p w:rsidR="00F5325E" w:rsidRDefault="00F5325E" w:rsidP="00F5325E">
      <w:pPr>
        <w:tabs>
          <w:tab w:val="clear" w:pos="1276"/>
          <w:tab w:val="left" w:pos="1418"/>
          <w:tab w:val="left" w:pos="2977"/>
          <w:tab w:val="left" w:pos="4395"/>
        </w:tabs>
        <w:ind w:left="425" w:hanging="425"/>
      </w:pPr>
      <w:r w:rsidRPr="00F5325E">
        <w:t>22.</w:t>
      </w:r>
      <w:r w:rsidRPr="00F5325E">
        <w:tab/>
        <w:t xml:space="preserve">Der Unterschied in der Beschreibung, wo die Druckentlastungseinrichtungen in Absatz 6.7.3.11.1 und die Sicherheitsventile in Absatz 6.8.3.2.9.4 </w:t>
      </w:r>
      <w:r>
        <w:t>an Tankkörpern</w:t>
      </w:r>
      <w:r w:rsidRPr="00F5325E">
        <w:t xml:space="preserve"> anzuordnen sind, lässt sich dadurch erklären, dass ortsbewegliche Tanks keine festgelegte Fahrtrichtung haben und </w:t>
      </w:r>
      <w:r>
        <w:t xml:space="preserve">die Druckentlastungseinrichtungen </w:t>
      </w:r>
      <w:r w:rsidRPr="00F5325E">
        <w:t xml:space="preserve">in der </w:t>
      </w:r>
      <w:r>
        <w:t xml:space="preserve">Mitte der </w:t>
      </w:r>
      <w:r w:rsidRPr="00F5325E">
        <w:t>Längs</w:t>
      </w:r>
      <w:r>
        <w:t xml:space="preserve">achse </w:t>
      </w:r>
      <w:r w:rsidRPr="00F5325E">
        <w:t>des Tank</w:t>
      </w:r>
      <w:r>
        <w:t>körper</w:t>
      </w:r>
      <w:r w:rsidRPr="00F5325E">
        <w:t>s anzuordnen sind, während Tankfahrzeuge leicht nach hinten geneigt sein können, um das Entladen zu erleichtern.</w:t>
      </w:r>
    </w:p>
    <w:p w:rsidR="00F5325E" w:rsidRDefault="00F5325E" w:rsidP="00F5325E">
      <w:pPr>
        <w:tabs>
          <w:tab w:val="clear" w:pos="1276"/>
          <w:tab w:val="left" w:pos="1418"/>
          <w:tab w:val="left" w:pos="2977"/>
          <w:tab w:val="left" w:pos="4395"/>
        </w:tabs>
      </w:pPr>
    </w:p>
    <w:p w:rsidR="00F5325E" w:rsidRDefault="00F5325E" w:rsidP="00F5325E">
      <w:pPr>
        <w:tabs>
          <w:tab w:val="clear" w:pos="1276"/>
          <w:tab w:val="left" w:pos="1418"/>
          <w:tab w:val="left" w:pos="2977"/>
          <w:tab w:val="left" w:pos="4395"/>
        </w:tabs>
        <w:ind w:left="425" w:hanging="425"/>
      </w:pPr>
      <w:r>
        <w:t>23.</w:t>
      </w:r>
      <w:r>
        <w:tab/>
        <w:t xml:space="preserve">Dies bedeutet, dass Sicherheitsventile von Tanks des Kapitels 6.8 entlang der oberen Längslinie, aber nicht speziell in der </w:t>
      </w:r>
      <w:r w:rsidR="005F7165">
        <w:t>M</w:t>
      </w:r>
      <w:r>
        <w:t xml:space="preserve">itte </w:t>
      </w:r>
      <w:r w:rsidR="005F7165">
        <w:t xml:space="preserve">der Längsachse </w:t>
      </w:r>
      <w:r>
        <w:t xml:space="preserve">des Tanks angeordnet sein sollten. Der Begriff "obere Mantellinie", wie er in </w:t>
      </w:r>
      <w:r w:rsidR="005F7165">
        <w:t>Absatz</w:t>
      </w:r>
      <w:r>
        <w:t xml:space="preserve"> 6.10.1.1.1 anstelle der </w:t>
      </w:r>
      <w:r w:rsidR="005F7165">
        <w:t>Mitte der Längsachse</w:t>
      </w:r>
      <w:r>
        <w:t xml:space="preserve"> verwendet wird, würde Zweideutigkeiten vermeiden und die Konsistenz bei der Übersetzung in die französische Fassung verbessern. Es </w:t>
      </w:r>
      <w:r w:rsidR="005F7165">
        <w:t>wird</w:t>
      </w:r>
      <w:r>
        <w:t xml:space="preserve"> die Auffassung vertreten, dass die Anbringung der Ventile etwas außerhalb der oberen Mantellinie die Sicherhei</w:t>
      </w:r>
      <w:r w:rsidR="005F7165">
        <w:t>t gegen</w:t>
      </w:r>
      <w:r w:rsidR="00EE22B8">
        <w:t>über</w:t>
      </w:r>
      <w:r w:rsidR="005F7165">
        <w:t xml:space="preserve"> </w:t>
      </w:r>
      <w:r w:rsidR="00EE22B8">
        <w:t>einem</w:t>
      </w:r>
      <w:r w:rsidR="005F7165">
        <w:t xml:space="preserve"> Auftreffen auf oben</w:t>
      </w:r>
      <w:r>
        <w:t xml:space="preserve">liegende Hindernisse verbessern würde. Es </w:t>
      </w:r>
      <w:r w:rsidR="005F7165">
        <w:t>wird</w:t>
      </w:r>
      <w:r>
        <w:t xml:space="preserve"> jedoch nicht befürwortet, die Ventile in einem Winkel von mehr als 30° auf beiden Seiten der </w:t>
      </w:r>
      <w:r w:rsidR="005F7165">
        <w:t>oberen Mantellinie</w:t>
      </w:r>
      <w:r>
        <w:t xml:space="preserve"> anzuordnen, wie es in </w:t>
      </w:r>
      <w:r w:rsidR="005F7165">
        <w:t xml:space="preserve">Absatz </w:t>
      </w:r>
      <w:r>
        <w:t xml:space="preserve">6.10.1.1.1 als </w:t>
      </w:r>
      <w:r w:rsidR="005F7165">
        <w:t>geschützte Zone</w:t>
      </w:r>
      <w:r>
        <w:t xml:space="preserve"> erlaubt ist. Dies kann zu eine</w:t>
      </w:r>
      <w:r w:rsidR="005F7165">
        <w:t>m</w:t>
      </w:r>
      <w:r>
        <w:t xml:space="preserve"> verringerten </w:t>
      </w:r>
      <w:r w:rsidR="005F7165">
        <w:t>Fassungsraum</w:t>
      </w:r>
      <w:r>
        <w:t xml:space="preserve"> des einzufüllenden Produkts führen, da sich der Einlass im Dampfraum befinden sollte, um die thermische Ausdehnung der flüssigen Phase zu ermöglichen, die auftritt, wenn </w:t>
      </w:r>
      <w:r w:rsidR="005F7165">
        <w:t xml:space="preserve">das </w:t>
      </w:r>
      <w:proofErr w:type="spellStart"/>
      <w:r w:rsidR="005F7165">
        <w:t>Füllgut</w:t>
      </w:r>
      <w:proofErr w:type="spellEnd"/>
      <w:r w:rsidR="005F7165">
        <w:t xml:space="preserve"> </w:t>
      </w:r>
      <w:r w:rsidR="00EE22B8">
        <w:t xml:space="preserve">bei </w:t>
      </w:r>
      <w:r w:rsidR="005F7165">
        <w:t xml:space="preserve">einem </w:t>
      </w:r>
      <w:r w:rsidR="00EE22B8">
        <w:t>Brand</w:t>
      </w:r>
      <w:r w:rsidR="005F7165">
        <w:t xml:space="preserve"> erhitzt wird.</w:t>
      </w:r>
    </w:p>
    <w:p w:rsidR="005F7165" w:rsidRDefault="005F7165" w:rsidP="00F5325E">
      <w:pPr>
        <w:tabs>
          <w:tab w:val="clear" w:pos="1276"/>
          <w:tab w:val="left" w:pos="1418"/>
          <w:tab w:val="left" w:pos="2977"/>
          <w:tab w:val="left" w:pos="4395"/>
        </w:tabs>
      </w:pPr>
    </w:p>
    <w:p w:rsidR="005F7165" w:rsidRDefault="00F5325E" w:rsidP="005F7165">
      <w:pPr>
        <w:tabs>
          <w:tab w:val="clear" w:pos="1276"/>
          <w:tab w:val="left" w:pos="1418"/>
          <w:tab w:val="left" w:pos="2977"/>
          <w:tab w:val="left" w:pos="4395"/>
        </w:tabs>
        <w:ind w:left="425" w:hanging="425"/>
      </w:pPr>
      <w:r>
        <w:t>24.</w:t>
      </w:r>
      <w:r>
        <w:tab/>
        <w:t>Da der Absatz 6.8.3.2.9.4 zu Fehlinterpretationen Anlass geben könnte, werden zur Klarstellung des bestehenden Textes die folgenden Änderungen vorgeschlagen:</w:t>
      </w:r>
    </w:p>
    <w:p w:rsidR="005F7165" w:rsidRDefault="005F7165" w:rsidP="005F7165">
      <w:pPr>
        <w:tabs>
          <w:tab w:val="clear" w:pos="1276"/>
          <w:tab w:val="left" w:pos="1418"/>
          <w:tab w:val="left" w:pos="2977"/>
          <w:tab w:val="left" w:pos="4395"/>
        </w:tabs>
        <w:ind w:left="425" w:hanging="425"/>
      </w:pPr>
    </w:p>
    <w:p w:rsidR="005F7165" w:rsidRDefault="005F7165" w:rsidP="005F7165">
      <w:pPr>
        <w:tabs>
          <w:tab w:val="clear" w:pos="425"/>
          <w:tab w:val="clear" w:pos="851"/>
          <w:tab w:val="clear" w:pos="1276"/>
          <w:tab w:val="left" w:pos="1418"/>
        </w:tabs>
        <w:ind w:left="425"/>
        <w:rPr>
          <w:rFonts w:cs="Arial"/>
          <w:b/>
          <w:szCs w:val="22"/>
        </w:rPr>
      </w:pPr>
      <w:r>
        <w:rPr>
          <w:rFonts w:cs="Arial"/>
          <w:b/>
          <w:szCs w:val="22"/>
        </w:rPr>
        <w:t>Antrag 7 (für die Ausgabe 2025 des RID/ADR)</w:t>
      </w:r>
    </w:p>
    <w:p w:rsidR="005F7165" w:rsidRDefault="005F7165" w:rsidP="005F7165">
      <w:pPr>
        <w:tabs>
          <w:tab w:val="clear" w:pos="1276"/>
          <w:tab w:val="left" w:pos="1418"/>
          <w:tab w:val="left" w:pos="2977"/>
          <w:tab w:val="left" w:pos="4395"/>
        </w:tabs>
        <w:ind w:left="850" w:hanging="425"/>
      </w:pPr>
    </w:p>
    <w:p w:rsidR="005F7165" w:rsidRPr="005F7165" w:rsidRDefault="005F7165" w:rsidP="00EE22B8">
      <w:pPr>
        <w:tabs>
          <w:tab w:val="clear" w:pos="1276"/>
          <w:tab w:val="left" w:pos="1701"/>
          <w:tab w:val="left" w:pos="2977"/>
          <w:tab w:val="left" w:pos="4395"/>
        </w:tabs>
        <w:ind w:left="1701" w:hanging="1276"/>
      </w:pPr>
      <w:r>
        <w:rPr>
          <w:b/>
        </w:rPr>
        <w:t>6.8.3.2.9.4</w:t>
      </w:r>
      <w:r w:rsidR="00EE22B8">
        <w:tab/>
      </w:r>
      <w:r>
        <w:t>Der erste Satz erhält folgenden Wortlaut (neuer Text ist unterstrichen, gestrichener Text durchgestrichen dargestellt):</w:t>
      </w:r>
    </w:p>
    <w:p w:rsidR="005F7165" w:rsidRDefault="005F7165" w:rsidP="00EE22B8">
      <w:pPr>
        <w:pStyle w:val="Default"/>
        <w:tabs>
          <w:tab w:val="left" w:pos="1701"/>
        </w:tabs>
        <w:ind w:left="1701"/>
        <w:jc w:val="both"/>
        <w:rPr>
          <w:snapToGrid w:val="0"/>
          <w:color w:val="auto"/>
        </w:rPr>
      </w:pPr>
    </w:p>
    <w:p w:rsidR="005F7165" w:rsidRDefault="005F7165" w:rsidP="00EE22B8">
      <w:pPr>
        <w:pStyle w:val="Default"/>
        <w:tabs>
          <w:tab w:val="left" w:pos="1701"/>
        </w:tabs>
        <w:ind w:left="1701"/>
        <w:jc w:val="both"/>
        <w:rPr>
          <w:snapToGrid w:val="0"/>
          <w:color w:val="auto"/>
        </w:rPr>
      </w:pPr>
      <w:r>
        <w:rPr>
          <w:snapToGrid w:val="0"/>
          <w:color w:val="auto"/>
        </w:rPr>
        <w:t xml:space="preserve">"Jede Einlassöffnung der Sicherheitsventile muss im Scheitel des Tankkörpers so nahe wie möglich </w:t>
      </w:r>
      <w:r w:rsidRPr="005F7165">
        <w:rPr>
          <w:snapToGrid w:val="0"/>
          <w:color w:val="auto"/>
        </w:rPr>
        <w:t>an</w:t>
      </w:r>
      <w:r>
        <w:rPr>
          <w:snapToGrid w:val="0"/>
          <w:color w:val="auto"/>
        </w:rPr>
        <w:t xml:space="preserve"> </w:t>
      </w:r>
      <w:r w:rsidRPr="005F7165">
        <w:rPr>
          <w:snapToGrid w:val="0"/>
          <w:color w:val="auto"/>
        </w:rPr>
        <w:t>der</w:t>
      </w:r>
      <w:r>
        <w:rPr>
          <w:snapToGrid w:val="0"/>
          <w:color w:val="auto"/>
        </w:rPr>
        <w:t xml:space="preserve"> </w:t>
      </w:r>
      <w:r w:rsidRPr="00F2554A">
        <w:rPr>
          <w:strike/>
          <w:snapToGrid w:val="0"/>
          <w:color w:val="auto"/>
        </w:rPr>
        <w:t>Querachse des Tankkörpers</w:t>
      </w:r>
      <w:r>
        <w:rPr>
          <w:snapToGrid w:val="0"/>
          <w:color w:val="auto"/>
        </w:rPr>
        <w:t xml:space="preserve"> </w:t>
      </w:r>
      <w:r w:rsidR="00F2554A" w:rsidRPr="00F2554A">
        <w:rPr>
          <w:snapToGrid w:val="0"/>
          <w:color w:val="auto"/>
          <w:u w:val="single"/>
        </w:rPr>
        <w:t>oberen Mantellinie</w:t>
      </w:r>
      <w:r w:rsidR="00F2554A">
        <w:rPr>
          <w:snapToGrid w:val="0"/>
          <w:color w:val="auto"/>
        </w:rPr>
        <w:t xml:space="preserve"> </w:t>
      </w:r>
      <w:r>
        <w:rPr>
          <w:snapToGrid w:val="0"/>
          <w:color w:val="auto"/>
        </w:rPr>
        <w:t>angeordnet sein."</w:t>
      </w:r>
    </w:p>
    <w:p w:rsidR="00F2554A" w:rsidRPr="00751AF0" w:rsidRDefault="00F2554A" w:rsidP="00F2554A">
      <w:pPr>
        <w:widowControl w:val="0"/>
        <w:ind w:left="425" w:hanging="425"/>
      </w:pPr>
    </w:p>
    <w:p w:rsidR="00F2554A" w:rsidRDefault="00F2554A" w:rsidP="00F2554A">
      <w:pPr>
        <w:widowControl w:val="0"/>
        <w:tabs>
          <w:tab w:val="clear" w:pos="851"/>
          <w:tab w:val="clear" w:pos="1276"/>
          <w:tab w:val="left" w:pos="993"/>
        </w:tabs>
        <w:ind w:left="993" w:hanging="993"/>
      </w:pPr>
      <w:r w:rsidRPr="00FD05CA">
        <w:rPr>
          <w:rFonts w:cs="Arial"/>
          <w:b/>
          <w:szCs w:val="22"/>
        </w:rPr>
        <w:t xml:space="preserve">TOP </w:t>
      </w:r>
      <w:r>
        <w:rPr>
          <w:rFonts w:cs="Arial"/>
          <w:b/>
          <w:szCs w:val="22"/>
        </w:rPr>
        <w:t>10</w:t>
      </w:r>
      <w:r w:rsidRPr="00FD05CA">
        <w:rPr>
          <w:rFonts w:cs="Arial"/>
          <w:b/>
          <w:szCs w:val="22"/>
        </w:rPr>
        <w:t>:</w:t>
      </w:r>
      <w:r w:rsidRPr="00267E5A">
        <w:rPr>
          <w:rFonts w:cs="Arial"/>
          <w:b/>
          <w:szCs w:val="22"/>
        </w:rPr>
        <w:tab/>
      </w:r>
      <w:r>
        <w:rPr>
          <w:b/>
        </w:rPr>
        <w:t>Bericht der Normen-Arbeitsgruppe</w:t>
      </w:r>
    </w:p>
    <w:p w:rsidR="00F2554A" w:rsidRPr="00FD05CA" w:rsidRDefault="00F2554A" w:rsidP="00F2554A">
      <w:pPr>
        <w:tabs>
          <w:tab w:val="clear" w:pos="425"/>
          <w:tab w:val="clear" w:pos="851"/>
          <w:tab w:val="clear" w:pos="1276"/>
          <w:tab w:val="left" w:pos="0"/>
          <w:tab w:val="left" w:pos="1843"/>
          <w:tab w:val="left" w:pos="2977"/>
          <w:tab w:val="left" w:pos="4395"/>
        </w:tabs>
        <w:ind w:left="1276" w:hanging="851"/>
        <w:rPr>
          <w:rFonts w:cs="Arial"/>
          <w:szCs w:val="22"/>
        </w:rPr>
      </w:pPr>
    </w:p>
    <w:p w:rsidR="006E295F" w:rsidRDefault="00F2554A" w:rsidP="00F2554A">
      <w:pPr>
        <w:tabs>
          <w:tab w:val="clear" w:pos="425"/>
          <w:tab w:val="clear" w:pos="851"/>
          <w:tab w:val="clear" w:pos="1276"/>
          <w:tab w:val="left" w:pos="567"/>
          <w:tab w:val="left" w:pos="993"/>
        </w:tabs>
        <w:ind w:left="2836" w:hanging="2411"/>
        <w:jc w:val="left"/>
        <w:rPr>
          <w:rFonts w:cs="Arial"/>
          <w:szCs w:val="22"/>
        </w:rPr>
      </w:pPr>
      <w:r>
        <w:rPr>
          <w:rFonts w:cs="Arial"/>
          <w:i/>
          <w:szCs w:val="22"/>
        </w:rPr>
        <w:t xml:space="preserve">Informelles </w:t>
      </w:r>
      <w:r w:rsidRPr="00922FF6">
        <w:rPr>
          <w:rFonts w:cs="Arial"/>
          <w:i/>
          <w:szCs w:val="22"/>
        </w:rPr>
        <w:t>Dokument:</w:t>
      </w:r>
      <w:r w:rsidRPr="00922FF6">
        <w:rPr>
          <w:rFonts w:cs="Arial"/>
          <w:i/>
          <w:szCs w:val="22"/>
        </w:rPr>
        <w:tab/>
      </w:r>
      <w:r>
        <w:rPr>
          <w:rFonts w:cs="Arial"/>
          <w:szCs w:val="22"/>
        </w:rPr>
        <w:t>INF.14</w:t>
      </w:r>
      <w:r w:rsidRPr="00922FF6">
        <w:rPr>
          <w:rFonts w:cs="Arial"/>
          <w:szCs w:val="22"/>
        </w:rPr>
        <w:t xml:space="preserve"> (</w:t>
      </w:r>
      <w:r>
        <w:rPr>
          <w:rFonts w:cs="Arial"/>
          <w:szCs w:val="22"/>
        </w:rPr>
        <w:t>CEN)</w:t>
      </w:r>
    </w:p>
    <w:p w:rsidR="00F2554A" w:rsidRDefault="00F2554A" w:rsidP="00F2554A">
      <w:pPr>
        <w:tabs>
          <w:tab w:val="clear" w:pos="425"/>
          <w:tab w:val="clear" w:pos="851"/>
          <w:tab w:val="clear" w:pos="1276"/>
          <w:tab w:val="left" w:pos="567"/>
          <w:tab w:val="left" w:pos="993"/>
        </w:tabs>
        <w:ind w:left="2411" w:hanging="2411"/>
        <w:jc w:val="left"/>
      </w:pPr>
    </w:p>
    <w:p w:rsidR="00F2554A" w:rsidRDefault="00B70620" w:rsidP="00F2554A">
      <w:pPr>
        <w:tabs>
          <w:tab w:val="clear" w:pos="1276"/>
          <w:tab w:val="left" w:pos="1418"/>
          <w:tab w:val="left" w:pos="2977"/>
          <w:tab w:val="left" w:pos="4395"/>
        </w:tabs>
        <w:ind w:left="425" w:hanging="425"/>
      </w:pPr>
      <w:r>
        <w:t>25.</w:t>
      </w:r>
      <w:r>
        <w:tab/>
        <w:t>Ein Verweis auf die Norm EN ISO </w:t>
      </w:r>
      <w:r w:rsidR="00F2554A">
        <w:t>9712:2012 Zerstörungsfreie Prüfung –</w:t>
      </w:r>
      <w:r w:rsidR="00F2554A" w:rsidRPr="00F2554A">
        <w:t xml:space="preserve"> Qualifizierung und Zertifizierung von Personal der zerstörungsfreien Prüfung </w:t>
      </w:r>
      <w:r w:rsidR="00F2554A">
        <w:t>ist in den Sondervorschriften TT</w:t>
      </w:r>
      <w:r w:rsidR="00CE66FC">
        <w:t> </w:t>
      </w:r>
      <w:r w:rsidR="00F2554A">
        <w:t>8 und TT</w:t>
      </w:r>
      <w:r w:rsidR="00CE66FC">
        <w:t> </w:t>
      </w:r>
      <w:r w:rsidR="00F2554A">
        <w:t xml:space="preserve">11 </w:t>
      </w:r>
      <w:r w:rsidR="00CE66FC">
        <w:t>in Abschnitt</w:t>
      </w:r>
      <w:r w:rsidR="00F2554A">
        <w:t xml:space="preserve"> 6.8.4 enthalten. Diese Norm wird in einer Vers</w:t>
      </w:r>
      <w:r w:rsidR="00CE66FC">
        <w:t>ion 2022 überarbeitet.</w:t>
      </w:r>
    </w:p>
    <w:p w:rsidR="00F2554A" w:rsidRDefault="00F2554A" w:rsidP="00F2554A">
      <w:pPr>
        <w:tabs>
          <w:tab w:val="clear" w:pos="1276"/>
          <w:tab w:val="left" w:pos="1418"/>
          <w:tab w:val="left" w:pos="2977"/>
          <w:tab w:val="left" w:pos="4395"/>
        </w:tabs>
        <w:ind w:left="425" w:hanging="425"/>
      </w:pPr>
    </w:p>
    <w:p w:rsidR="00F2554A" w:rsidRDefault="00F2554A" w:rsidP="00F2554A">
      <w:pPr>
        <w:tabs>
          <w:tab w:val="clear" w:pos="1276"/>
          <w:tab w:val="left" w:pos="1418"/>
          <w:tab w:val="left" w:pos="2977"/>
          <w:tab w:val="left" w:pos="4395"/>
        </w:tabs>
        <w:ind w:left="425" w:hanging="425"/>
      </w:pPr>
      <w:r>
        <w:t>26.</w:t>
      </w:r>
      <w:r>
        <w:tab/>
        <w:t xml:space="preserve">Es </w:t>
      </w:r>
      <w:r w:rsidR="00CE66FC">
        <w:t>wird</w:t>
      </w:r>
      <w:r>
        <w:t xml:space="preserve"> geäußert, dass allein der Wechsel von der Fassung 2012 zur Fassung 2022 der </w:t>
      </w:r>
      <w:r w:rsidR="00CE66FC">
        <w:t xml:space="preserve">Norm </w:t>
      </w:r>
      <w:r>
        <w:t>EN</w:t>
      </w:r>
      <w:r w:rsidR="00CE66FC">
        <w:t> </w:t>
      </w:r>
      <w:r>
        <w:t>ISO</w:t>
      </w:r>
      <w:r w:rsidR="00CE66FC">
        <w:t> </w:t>
      </w:r>
      <w:r>
        <w:t xml:space="preserve">9712 zu Problemen für </w:t>
      </w:r>
      <w:r w:rsidR="00CE66FC">
        <w:t>die Prüfstellen führen kann. Nicht alle</w:t>
      </w:r>
      <w:r>
        <w:t xml:space="preserve"> Stellen, die solche Bescheinigungen ausstellen, haben die neue Fassung übernommen, und die für die Einhaltung der Normen ausgestellten Bescheinigungen haben</w:t>
      </w:r>
      <w:r w:rsidR="00B70620">
        <w:t xml:space="preserve"> eine Gültigkeit von 5 Jahren.</w:t>
      </w:r>
    </w:p>
    <w:p w:rsidR="00CE66FC" w:rsidRDefault="00CE66FC" w:rsidP="00F2554A">
      <w:pPr>
        <w:tabs>
          <w:tab w:val="clear" w:pos="1276"/>
          <w:tab w:val="left" w:pos="1418"/>
          <w:tab w:val="left" w:pos="2977"/>
          <w:tab w:val="left" w:pos="4395"/>
        </w:tabs>
        <w:ind w:left="425" w:hanging="425"/>
      </w:pPr>
    </w:p>
    <w:p w:rsidR="00F2554A" w:rsidRDefault="00F2554A" w:rsidP="00F2554A">
      <w:pPr>
        <w:tabs>
          <w:tab w:val="clear" w:pos="1276"/>
          <w:tab w:val="left" w:pos="1418"/>
          <w:tab w:val="left" w:pos="2977"/>
          <w:tab w:val="left" w:pos="4395"/>
        </w:tabs>
        <w:ind w:left="425" w:hanging="425"/>
      </w:pPr>
      <w:r>
        <w:t>27.</w:t>
      </w:r>
      <w:r>
        <w:tab/>
        <w:t xml:space="preserve">Zur Lösung des Problems </w:t>
      </w:r>
      <w:r w:rsidR="00CE66FC">
        <w:t>wird</w:t>
      </w:r>
      <w:r>
        <w:t xml:space="preserve"> ein alternativer Ansatz gewählt. Der Inhalt und die Anwendung </w:t>
      </w:r>
      <w:r w:rsidR="00CE66FC">
        <w:t>der Sondervorschriften</w:t>
      </w:r>
      <w:r>
        <w:t xml:space="preserve"> TT</w:t>
      </w:r>
      <w:r w:rsidR="00CE66FC">
        <w:t> </w:t>
      </w:r>
      <w:r>
        <w:t>8 und TT</w:t>
      </w:r>
      <w:r w:rsidR="00CE66FC">
        <w:t> </w:t>
      </w:r>
      <w:r>
        <w:t xml:space="preserve">11 sind unterschiedlich, was zu unterschiedlichen Lösungen für jede Sondervorschrift </w:t>
      </w:r>
      <w:r w:rsidR="00B70620">
        <w:t>führt</w:t>
      </w:r>
      <w:r>
        <w:t>.</w:t>
      </w:r>
    </w:p>
    <w:p w:rsidR="00CE66FC" w:rsidRDefault="00CE66FC" w:rsidP="00CE66FC">
      <w:pPr>
        <w:tabs>
          <w:tab w:val="clear" w:pos="1276"/>
          <w:tab w:val="left" w:pos="1418"/>
          <w:tab w:val="left" w:pos="2977"/>
          <w:tab w:val="left" w:pos="4395"/>
        </w:tabs>
        <w:ind w:left="425" w:hanging="425"/>
      </w:pPr>
    </w:p>
    <w:p w:rsidR="00CE66FC" w:rsidRDefault="00CE66FC" w:rsidP="00CE66FC">
      <w:pPr>
        <w:tabs>
          <w:tab w:val="clear" w:pos="425"/>
          <w:tab w:val="clear" w:pos="851"/>
          <w:tab w:val="clear" w:pos="1276"/>
          <w:tab w:val="left" w:pos="1418"/>
        </w:tabs>
        <w:ind w:left="425"/>
        <w:rPr>
          <w:rFonts w:cs="Arial"/>
          <w:b/>
          <w:szCs w:val="22"/>
        </w:rPr>
      </w:pPr>
      <w:r>
        <w:rPr>
          <w:rFonts w:cs="Arial"/>
          <w:b/>
          <w:szCs w:val="22"/>
        </w:rPr>
        <w:t xml:space="preserve">Antrag </w:t>
      </w:r>
      <w:r w:rsidR="000124DA">
        <w:rPr>
          <w:rFonts w:cs="Arial"/>
          <w:b/>
          <w:szCs w:val="22"/>
        </w:rPr>
        <w:t>8</w:t>
      </w:r>
      <w:r>
        <w:rPr>
          <w:rFonts w:cs="Arial"/>
          <w:b/>
          <w:szCs w:val="22"/>
        </w:rPr>
        <w:t xml:space="preserve"> (für die Ausgabe 2025 des RID/ADR)</w:t>
      </w:r>
    </w:p>
    <w:p w:rsidR="00CE66FC" w:rsidRDefault="00CE66FC" w:rsidP="00CE66FC">
      <w:pPr>
        <w:tabs>
          <w:tab w:val="clear" w:pos="1276"/>
          <w:tab w:val="left" w:pos="1418"/>
          <w:tab w:val="left" w:pos="2977"/>
          <w:tab w:val="left" w:pos="4395"/>
        </w:tabs>
        <w:ind w:left="850" w:hanging="425"/>
      </w:pPr>
    </w:p>
    <w:p w:rsidR="00CE66FC" w:rsidRDefault="00CE66FC" w:rsidP="00CE66FC">
      <w:pPr>
        <w:tabs>
          <w:tab w:val="clear" w:pos="1276"/>
          <w:tab w:val="left" w:pos="1418"/>
          <w:tab w:val="left" w:pos="2977"/>
          <w:tab w:val="left" w:pos="4395"/>
        </w:tabs>
        <w:ind w:left="1418" w:hanging="993"/>
        <w:rPr>
          <w:b/>
        </w:rPr>
      </w:pPr>
      <w:r>
        <w:rPr>
          <w:b/>
        </w:rPr>
        <w:t>6.8.4</w:t>
      </w:r>
    </w:p>
    <w:p w:rsidR="00CE66FC" w:rsidRPr="00CE66FC" w:rsidRDefault="00CE66FC" w:rsidP="00CE66FC">
      <w:pPr>
        <w:tabs>
          <w:tab w:val="clear" w:pos="1276"/>
          <w:tab w:val="left" w:pos="1418"/>
          <w:tab w:val="left" w:pos="2977"/>
          <w:tab w:val="left" w:pos="4395"/>
        </w:tabs>
        <w:ind w:left="1418" w:hanging="993"/>
      </w:pPr>
    </w:p>
    <w:p w:rsidR="00CE66FC" w:rsidRPr="005F7165" w:rsidRDefault="00CE66FC" w:rsidP="00B70620">
      <w:pPr>
        <w:tabs>
          <w:tab w:val="clear" w:pos="1276"/>
          <w:tab w:val="left" w:pos="1701"/>
          <w:tab w:val="left" w:pos="2977"/>
          <w:tab w:val="left" w:pos="4395"/>
        </w:tabs>
        <w:ind w:left="1701" w:hanging="1276"/>
      </w:pPr>
      <w:r w:rsidRPr="00CE66FC">
        <w:rPr>
          <w:b/>
        </w:rPr>
        <w:t>TT </w:t>
      </w:r>
      <w:r>
        <w:rPr>
          <w:b/>
        </w:rPr>
        <w:t>8</w:t>
      </w:r>
      <w:r>
        <w:rPr>
          <w:b/>
        </w:rPr>
        <w:tab/>
      </w:r>
      <w:r>
        <w:t>Der letzte Satz erhält folgenden Wortlaut (neuer Text ist unterstrichen, gestrichener Text durchgestrichen dargestellt):</w:t>
      </w:r>
    </w:p>
    <w:p w:rsidR="00CE66FC" w:rsidRDefault="00CE66FC" w:rsidP="00B70620">
      <w:pPr>
        <w:pStyle w:val="Default"/>
        <w:ind w:left="2268" w:hanging="567"/>
        <w:jc w:val="both"/>
        <w:rPr>
          <w:snapToGrid w:val="0"/>
          <w:color w:val="auto"/>
        </w:rPr>
      </w:pPr>
    </w:p>
    <w:p w:rsidR="00CE66FC" w:rsidRDefault="00CE66FC" w:rsidP="00B70620">
      <w:pPr>
        <w:pStyle w:val="Default"/>
        <w:ind w:left="1701"/>
        <w:jc w:val="both"/>
        <w:rPr>
          <w:snapToGrid w:val="0"/>
          <w:color w:val="auto"/>
        </w:rPr>
      </w:pPr>
      <w:r>
        <w:rPr>
          <w:snapToGrid w:val="0"/>
          <w:color w:val="auto"/>
        </w:rPr>
        <w:t>"</w:t>
      </w:r>
      <w:r w:rsidRPr="00CE66FC">
        <w:rPr>
          <w:snapToGrid w:val="0"/>
          <w:color w:val="auto"/>
        </w:rPr>
        <w:t xml:space="preserve">Solche Magnetpulverprüfungen müssen </w:t>
      </w:r>
      <w:r w:rsidRPr="00C56C94">
        <w:rPr>
          <w:strike/>
          <w:snapToGrid w:val="0"/>
          <w:color w:val="auto"/>
        </w:rPr>
        <w:t>von einer sachkundigen Person durchgeführt werden, die für diese Methode gemäß der Norm EN ISO 9712:2012 (Zerstörungsfreie Prüfung – Qualifizierung und Zertifizierung von Personal der zerstörungsfreien Prüfung) qualifiziert ist</w:t>
      </w:r>
      <w:r w:rsidR="00C56C94" w:rsidRPr="00C56C94">
        <w:rPr>
          <w:snapToGrid w:val="0"/>
          <w:color w:val="auto"/>
          <w:u w:val="single"/>
        </w:rPr>
        <w:t xml:space="preserve"> in Übereinstimmung mit der Norm EN 12972:2018 durchgeführt werden</w:t>
      </w:r>
      <w:r w:rsidRPr="00CE66FC">
        <w:rPr>
          <w:snapToGrid w:val="0"/>
          <w:color w:val="auto"/>
        </w:rPr>
        <w:t>.</w:t>
      </w:r>
      <w:r>
        <w:rPr>
          <w:snapToGrid w:val="0"/>
          <w:color w:val="auto"/>
        </w:rPr>
        <w:t>"</w:t>
      </w:r>
    </w:p>
    <w:p w:rsidR="00CE66FC" w:rsidRPr="00751AF0" w:rsidRDefault="00CE66FC" w:rsidP="00CE66FC">
      <w:pPr>
        <w:widowControl w:val="0"/>
        <w:ind w:left="425" w:hanging="425"/>
      </w:pPr>
    </w:p>
    <w:p w:rsidR="00CE66FC" w:rsidRDefault="00143927" w:rsidP="00185B9A">
      <w:pPr>
        <w:tabs>
          <w:tab w:val="clear" w:pos="1276"/>
          <w:tab w:val="left" w:pos="1418"/>
          <w:tab w:val="left" w:pos="2977"/>
          <w:tab w:val="left" w:pos="4395"/>
        </w:tabs>
        <w:ind w:left="850" w:hanging="425"/>
      </w:pPr>
      <w:r>
        <w:t>(ADR:)</w:t>
      </w:r>
    </w:p>
    <w:p w:rsidR="00143927" w:rsidRDefault="00143927" w:rsidP="00B70620">
      <w:pPr>
        <w:tabs>
          <w:tab w:val="clear" w:pos="1276"/>
          <w:tab w:val="left" w:pos="1701"/>
          <w:tab w:val="left" w:pos="2977"/>
          <w:tab w:val="left" w:pos="4395"/>
        </w:tabs>
        <w:ind w:left="1701" w:hanging="1276"/>
      </w:pPr>
      <w:r>
        <w:rPr>
          <w:b/>
        </w:rPr>
        <w:t>TT 11</w:t>
      </w:r>
      <w:r>
        <w:rPr>
          <w:b/>
        </w:rPr>
        <w:tab/>
      </w:r>
      <w:r>
        <w:t>Den Verweis auf die Norm EN ISO17638 wie folgt ändern (neuer Text ist unterstrichen dargestellt):</w:t>
      </w:r>
    </w:p>
    <w:p w:rsidR="00143927" w:rsidRPr="00B70620" w:rsidRDefault="00143927" w:rsidP="00B70620">
      <w:pPr>
        <w:tabs>
          <w:tab w:val="clear" w:pos="1276"/>
          <w:tab w:val="left" w:pos="1418"/>
          <w:tab w:val="left" w:pos="2977"/>
          <w:tab w:val="left" w:pos="4395"/>
        </w:tabs>
        <w:ind w:left="3119" w:hanging="1418"/>
      </w:pPr>
    </w:p>
    <w:p w:rsidR="00143927" w:rsidRDefault="00143927" w:rsidP="00B70620">
      <w:pPr>
        <w:tabs>
          <w:tab w:val="clear" w:pos="1276"/>
          <w:tab w:val="left" w:pos="1418"/>
          <w:tab w:val="left" w:pos="2977"/>
          <w:tab w:val="left" w:pos="4395"/>
        </w:tabs>
        <w:ind w:left="2126" w:hanging="425"/>
      </w:pPr>
      <w:r>
        <w:t>"–</w:t>
      </w:r>
      <w:r>
        <w:tab/>
        <w:t>Norm EN ISO </w:t>
      </w:r>
      <w:r w:rsidRPr="00143927">
        <w:t>17638:2016 – Zerstörungsfreie Prüfung v</w:t>
      </w:r>
      <w:r>
        <w:t>on Schweißverbindungen – Magnet</w:t>
      </w:r>
      <w:r w:rsidRPr="00143927">
        <w:t xml:space="preserve">pulverprüfung mit Zulässigkeitsgrenzen gemäß </w:t>
      </w:r>
      <w:r w:rsidRPr="00143927">
        <w:rPr>
          <w:u w:val="single"/>
        </w:rPr>
        <w:t>N</w:t>
      </w:r>
      <w:r>
        <w:rPr>
          <w:u w:val="single"/>
        </w:rPr>
        <w:t>iveau 2</w:t>
      </w:r>
      <w:r w:rsidRPr="00143927">
        <w:rPr>
          <w:u w:val="single"/>
        </w:rPr>
        <w:t>X der</w:t>
      </w:r>
      <w:r w:rsidRPr="00B70620">
        <w:t xml:space="preserve"> </w:t>
      </w:r>
      <w:r w:rsidRPr="00143927">
        <w:t>No</w:t>
      </w:r>
      <w:r>
        <w:t>rm EN ISO </w:t>
      </w:r>
      <w:r w:rsidRPr="00143927">
        <w:t>23278:2015 – Zerstörungsfreie Prüfung von Schweißverbindungen – Magnet-</w:t>
      </w:r>
      <w:proofErr w:type="spellStart"/>
      <w:r w:rsidRPr="00143927">
        <w:t>pulverprüfu</w:t>
      </w:r>
      <w:r w:rsidR="00B70620">
        <w:t>ng</w:t>
      </w:r>
      <w:proofErr w:type="spellEnd"/>
      <w:r w:rsidR="00B70620">
        <w:t xml:space="preserve"> von Schweißverbindungen – Zu</w:t>
      </w:r>
      <w:r w:rsidRPr="00143927">
        <w:t>lässigkeitsgrenzen,</w:t>
      </w:r>
      <w:r>
        <w:t>".</w:t>
      </w:r>
    </w:p>
    <w:p w:rsidR="00143927" w:rsidRPr="00143927" w:rsidRDefault="00143927" w:rsidP="00185B9A">
      <w:pPr>
        <w:tabs>
          <w:tab w:val="clear" w:pos="1276"/>
          <w:tab w:val="left" w:pos="1418"/>
          <w:tab w:val="left" w:pos="2977"/>
          <w:tab w:val="left" w:pos="4395"/>
        </w:tabs>
        <w:ind w:left="850" w:hanging="425"/>
      </w:pPr>
      <w:r>
        <w:t>(ADR:)</w:t>
      </w:r>
    </w:p>
    <w:p w:rsidR="00143927" w:rsidRDefault="00143927" w:rsidP="00B70620">
      <w:pPr>
        <w:tabs>
          <w:tab w:val="clear" w:pos="1276"/>
          <w:tab w:val="left" w:pos="1701"/>
          <w:tab w:val="left" w:pos="2977"/>
          <w:tab w:val="left" w:pos="4395"/>
        </w:tabs>
        <w:ind w:left="1701" w:hanging="1276"/>
      </w:pPr>
      <w:r>
        <w:rPr>
          <w:b/>
        </w:rPr>
        <w:t>TT 11</w:t>
      </w:r>
      <w:r>
        <w:rPr>
          <w:b/>
        </w:rPr>
        <w:tab/>
      </w:r>
      <w:r>
        <w:t>Der Unterabsatz nach dem vierten S</w:t>
      </w:r>
      <w:r w:rsidR="00185B9A">
        <w:t>piegelstrich:</w:t>
      </w:r>
    </w:p>
    <w:p w:rsidR="00143927" w:rsidRPr="00143927" w:rsidRDefault="00143927" w:rsidP="00B70620">
      <w:pPr>
        <w:tabs>
          <w:tab w:val="clear" w:pos="1276"/>
          <w:tab w:val="left" w:pos="1418"/>
          <w:tab w:val="left" w:pos="2977"/>
          <w:tab w:val="left" w:pos="4395"/>
        </w:tabs>
        <w:ind w:left="2126" w:hanging="425"/>
      </w:pPr>
    </w:p>
    <w:p w:rsidR="00143927" w:rsidRDefault="00143927" w:rsidP="00B70620">
      <w:pPr>
        <w:tabs>
          <w:tab w:val="clear" w:pos="1276"/>
          <w:tab w:val="left" w:pos="1418"/>
          <w:tab w:val="left" w:pos="2977"/>
          <w:tab w:val="left" w:pos="4395"/>
        </w:tabs>
        <w:ind w:left="1701"/>
      </w:pPr>
      <w:r>
        <w:t>"</w:t>
      </w:r>
      <w:r w:rsidRPr="00143927">
        <w:t>Das an zerstörungs</w:t>
      </w:r>
      <w:r>
        <w:t>freien Prüfungen beteiligte Per</w:t>
      </w:r>
      <w:r w:rsidRPr="00143927">
        <w:t>sonal muss gemäß folgender Norm qualifiziert und zertifiziert sein u</w:t>
      </w:r>
      <w:r w:rsidR="00185B9A">
        <w:t>nd muss über geeignete theoreti</w:t>
      </w:r>
      <w:r w:rsidRPr="00143927">
        <w:t>sche und praktische Kenntnisse der zerstörungs-freien Prüfungen, die sie durchführen, festlegen, überwachen, beaufsich</w:t>
      </w:r>
      <w:r w:rsidR="00185B9A">
        <w:t>tigen oder auswerten, verfü</w:t>
      </w:r>
      <w:r w:rsidRPr="00143927">
        <w:t>gen:</w:t>
      </w:r>
    </w:p>
    <w:p w:rsidR="00185B9A" w:rsidRDefault="00185B9A" w:rsidP="00B70620">
      <w:pPr>
        <w:tabs>
          <w:tab w:val="clear" w:pos="1276"/>
          <w:tab w:val="left" w:pos="1418"/>
          <w:tab w:val="left" w:pos="2977"/>
          <w:tab w:val="left" w:pos="4395"/>
        </w:tabs>
        <w:ind w:left="1701"/>
      </w:pPr>
    </w:p>
    <w:p w:rsidR="00185B9A" w:rsidRDefault="00185B9A" w:rsidP="00B70620">
      <w:pPr>
        <w:tabs>
          <w:tab w:val="clear" w:pos="1276"/>
          <w:tab w:val="left" w:pos="1418"/>
          <w:tab w:val="left" w:pos="2977"/>
          <w:tab w:val="left" w:pos="4395"/>
        </w:tabs>
        <w:ind w:left="2126" w:hanging="425"/>
      </w:pPr>
      <w:r>
        <w:t>–</w:t>
      </w:r>
      <w:r>
        <w:tab/>
      </w:r>
      <w:r w:rsidRPr="00185B9A">
        <w:t>Norm EN</w:t>
      </w:r>
      <w:r>
        <w:t> </w:t>
      </w:r>
      <w:r w:rsidRPr="00185B9A">
        <w:t>ISO 9712:2012 – Zerstörungsfreie</w:t>
      </w:r>
      <w:r>
        <w:t xml:space="preserve"> Prüfung</w:t>
      </w:r>
      <w:r w:rsidRPr="00185B9A">
        <w:t xml:space="preserve"> </w:t>
      </w:r>
      <w:r>
        <w:t xml:space="preserve">– </w:t>
      </w:r>
      <w:r w:rsidRPr="00185B9A">
        <w:t>Qualifizierung und Zertifizierung von Personal der zerst</w:t>
      </w:r>
      <w:r>
        <w:t>ö</w:t>
      </w:r>
      <w:r w:rsidRPr="00185B9A">
        <w:t>rungsfreien Pr</w:t>
      </w:r>
      <w:r>
        <w:t>ü</w:t>
      </w:r>
      <w:r w:rsidRPr="00185B9A">
        <w:t>fung.</w:t>
      </w:r>
      <w:r>
        <w:t>"</w:t>
      </w:r>
    </w:p>
    <w:p w:rsidR="00185B9A" w:rsidRDefault="00185B9A" w:rsidP="00B70620">
      <w:pPr>
        <w:tabs>
          <w:tab w:val="clear" w:pos="1276"/>
          <w:tab w:val="left" w:pos="1418"/>
          <w:tab w:val="left" w:pos="2977"/>
          <w:tab w:val="left" w:pos="4395"/>
        </w:tabs>
        <w:ind w:left="2126" w:hanging="425"/>
      </w:pPr>
    </w:p>
    <w:p w:rsidR="00185B9A" w:rsidRDefault="00185B9A" w:rsidP="00B70620">
      <w:pPr>
        <w:tabs>
          <w:tab w:val="clear" w:pos="1276"/>
          <w:tab w:val="left" w:pos="1418"/>
          <w:tab w:val="left" w:pos="2977"/>
          <w:tab w:val="left" w:pos="4395"/>
        </w:tabs>
        <w:ind w:left="2126" w:hanging="425"/>
      </w:pPr>
      <w:r>
        <w:t>erhält folgenden Wortlaut:</w:t>
      </w:r>
    </w:p>
    <w:p w:rsidR="00185B9A" w:rsidRDefault="00185B9A" w:rsidP="00B70620">
      <w:pPr>
        <w:tabs>
          <w:tab w:val="clear" w:pos="1276"/>
          <w:tab w:val="left" w:pos="1418"/>
          <w:tab w:val="left" w:pos="2977"/>
          <w:tab w:val="left" w:pos="4395"/>
        </w:tabs>
        <w:ind w:left="2126" w:hanging="425"/>
      </w:pPr>
    </w:p>
    <w:p w:rsidR="00185B9A" w:rsidRPr="00143927" w:rsidRDefault="00185B9A" w:rsidP="00B70620">
      <w:pPr>
        <w:tabs>
          <w:tab w:val="clear" w:pos="1276"/>
          <w:tab w:val="left" w:pos="1418"/>
          <w:tab w:val="left" w:pos="2977"/>
          <w:tab w:val="left" w:pos="4395"/>
        </w:tabs>
        <w:ind w:left="1701"/>
      </w:pPr>
      <w:r>
        <w:t xml:space="preserve">"Zerstörungsfreie Prüfungen müssen durch Personal in Übereinstimmung mit </w:t>
      </w:r>
      <w:r w:rsidR="00B70620">
        <w:t xml:space="preserve">der </w:t>
      </w:r>
      <w:r>
        <w:t>Norm EN 12972:2018 oder EN 14334:2014 durchgeführt werden."</w:t>
      </w:r>
    </w:p>
    <w:p w:rsidR="00185B9A" w:rsidRPr="00751AF0" w:rsidRDefault="00185B9A" w:rsidP="00185B9A">
      <w:pPr>
        <w:widowControl w:val="0"/>
        <w:ind w:left="425" w:hanging="425"/>
      </w:pPr>
    </w:p>
    <w:p w:rsidR="00185B9A" w:rsidRDefault="00185B9A" w:rsidP="00185B9A">
      <w:pPr>
        <w:widowControl w:val="0"/>
        <w:tabs>
          <w:tab w:val="clear" w:pos="851"/>
          <w:tab w:val="clear" w:pos="1276"/>
          <w:tab w:val="left" w:pos="993"/>
        </w:tabs>
        <w:ind w:left="993" w:hanging="993"/>
      </w:pPr>
      <w:r w:rsidRPr="00FD05CA">
        <w:rPr>
          <w:rFonts w:cs="Arial"/>
          <w:b/>
          <w:szCs w:val="22"/>
        </w:rPr>
        <w:t xml:space="preserve">TOP </w:t>
      </w:r>
      <w:r>
        <w:rPr>
          <w:rFonts w:cs="Arial"/>
          <w:b/>
          <w:szCs w:val="22"/>
        </w:rPr>
        <w:t>1</w:t>
      </w:r>
      <w:r w:rsidR="00CF5A7F">
        <w:rPr>
          <w:rFonts w:cs="Arial"/>
          <w:b/>
          <w:szCs w:val="22"/>
        </w:rPr>
        <w:t>1</w:t>
      </w:r>
      <w:r w:rsidRPr="00FD05CA">
        <w:rPr>
          <w:rFonts w:cs="Arial"/>
          <w:b/>
          <w:szCs w:val="22"/>
        </w:rPr>
        <w:t>:</w:t>
      </w:r>
      <w:r w:rsidRPr="00267E5A">
        <w:rPr>
          <w:rFonts w:cs="Arial"/>
          <w:b/>
          <w:szCs w:val="22"/>
        </w:rPr>
        <w:tab/>
      </w:r>
      <w:r w:rsidR="00CF5A7F">
        <w:rPr>
          <w:b/>
        </w:rPr>
        <w:t xml:space="preserve">Doppelte Zulassung von intermodalen Tankcontainern nach Kapitel 6.8 RID/ADR und </w:t>
      </w:r>
      <w:r w:rsidR="00B70620">
        <w:rPr>
          <w:b/>
        </w:rPr>
        <w:t xml:space="preserve">als </w:t>
      </w:r>
      <w:r w:rsidR="00CF5A7F">
        <w:rPr>
          <w:b/>
        </w:rPr>
        <w:t>ortsbewegliche Tanks</w:t>
      </w:r>
    </w:p>
    <w:p w:rsidR="00185B9A" w:rsidRPr="00FD05CA" w:rsidRDefault="00185B9A" w:rsidP="00185B9A">
      <w:pPr>
        <w:tabs>
          <w:tab w:val="clear" w:pos="425"/>
          <w:tab w:val="clear" w:pos="851"/>
          <w:tab w:val="clear" w:pos="1276"/>
          <w:tab w:val="left" w:pos="0"/>
          <w:tab w:val="left" w:pos="1843"/>
          <w:tab w:val="left" w:pos="2977"/>
          <w:tab w:val="left" w:pos="4395"/>
        </w:tabs>
        <w:ind w:left="1276" w:hanging="851"/>
        <w:rPr>
          <w:rFonts w:cs="Arial"/>
          <w:szCs w:val="22"/>
        </w:rPr>
      </w:pPr>
    </w:p>
    <w:p w:rsidR="00185B9A" w:rsidRDefault="00185B9A" w:rsidP="00185B9A">
      <w:pPr>
        <w:tabs>
          <w:tab w:val="clear" w:pos="425"/>
          <w:tab w:val="clear" w:pos="851"/>
          <w:tab w:val="clear" w:pos="1276"/>
          <w:tab w:val="left" w:pos="567"/>
          <w:tab w:val="left" w:pos="993"/>
        </w:tabs>
        <w:ind w:left="2836" w:hanging="2411"/>
        <w:jc w:val="left"/>
        <w:rPr>
          <w:rFonts w:cs="Arial"/>
          <w:szCs w:val="22"/>
        </w:rPr>
      </w:pPr>
      <w:r>
        <w:rPr>
          <w:rFonts w:cs="Arial"/>
          <w:i/>
          <w:szCs w:val="22"/>
        </w:rPr>
        <w:t xml:space="preserve">Informelles </w:t>
      </w:r>
      <w:r w:rsidRPr="00922FF6">
        <w:rPr>
          <w:rFonts w:cs="Arial"/>
          <w:i/>
          <w:szCs w:val="22"/>
        </w:rPr>
        <w:t>Dokument:</w:t>
      </w:r>
      <w:r w:rsidRPr="00922FF6">
        <w:rPr>
          <w:rFonts w:cs="Arial"/>
          <w:i/>
          <w:szCs w:val="22"/>
        </w:rPr>
        <w:tab/>
      </w:r>
      <w:r>
        <w:rPr>
          <w:rFonts w:cs="Arial"/>
          <w:szCs w:val="22"/>
        </w:rPr>
        <w:t>INF.1</w:t>
      </w:r>
      <w:r w:rsidR="00CF5A7F">
        <w:rPr>
          <w:rFonts w:cs="Arial"/>
          <w:szCs w:val="22"/>
        </w:rPr>
        <w:t>6</w:t>
      </w:r>
      <w:r w:rsidRPr="00922FF6">
        <w:rPr>
          <w:rFonts w:cs="Arial"/>
          <w:szCs w:val="22"/>
        </w:rPr>
        <w:t xml:space="preserve"> (</w:t>
      </w:r>
      <w:r w:rsidR="00CF5A7F">
        <w:rPr>
          <w:rFonts w:cs="Arial"/>
          <w:szCs w:val="22"/>
        </w:rPr>
        <w:t>ITCO</w:t>
      </w:r>
      <w:r>
        <w:rPr>
          <w:rFonts w:cs="Arial"/>
          <w:szCs w:val="22"/>
        </w:rPr>
        <w:t>)</w:t>
      </w:r>
    </w:p>
    <w:p w:rsidR="00185B9A" w:rsidRDefault="00185B9A" w:rsidP="00185B9A">
      <w:pPr>
        <w:tabs>
          <w:tab w:val="clear" w:pos="425"/>
          <w:tab w:val="clear" w:pos="851"/>
          <w:tab w:val="clear" w:pos="1276"/>
          <w:tab w:val="left" w:pos="567"/>
          <w:tab w:val="left" w:pos="993"/>
        </w:tabs>
        <w:ind w:left="2411" w:hanging="2411"/>
        <w:jc w:val="left"/>
      </w:pPr>
    </w:p>
    <w:p w:rsidR="00CF5A7F" w:rsidRDefault="00CF5A7F" w:rsidP="00CF5A7F">
      <w:pPr>
        <w:tabs>
          <w:tab w:val="clear" w:pos="1276"/>
          <w:tab w:val="left" w:pos="1418"/>
          <w:tab w:val="left" w:pos="2977"/>
          <w:tab w:val="left" w:pos="4395"/>
        </w:tabs>
        <w:ind w:left="425" w:hanging="425"/>
      </w:pPr>
      <w:r>
        <w:t>28.</w:t>
      </w:r>
      <w:r>
        <w:tab/>
        <w:t xml:space="preserve">ITCO liefert der Tank-Arbeitsgruppe Rückmeldungen zu den Ergebnissen der </w:t>
      </w:r>
      <w:r w:rsidR="0080416E">
        <w:t>Zwischens</w:t>
      </w:r>
      <w:r>
        <w:t>itzungen vom 7. November 2023 und 12. Dezember 2023. Beide Sitzungen fanden virtuell statt und waren mit jeweils rund 50 Teilnehmern gut besucht. In der ersten Sitzung konzentrierten sich die Diskussionen auf die Gründe für die Abschaffung der doppelten Zulassung, in der zweiten Sitzung wurden die Folgen einer möglichen Abschaffung untersucht.</w:t>
      </w:r>
    </w:p>
    <w:p w:rsidR="00CF5A7F" w:rsidRDefault="00CF5A7F" w:rsidP="00CF5A7F">
      <w:pPr>
        <w:tabs>
          <w:tab w:val="clear" w:pos="1276"/>
          <w:tab w:val="left" w:pos="1418"/>
          <w:tab w:val="left" w:pos="2977"/>
          <w:tab w:val="left" w:pos="4395"/>
        </w:tabs>
        <w:ind w:left="425" w:hanging="425"/>
      </w:pPr>
    </w:p>
    <w:p w:rsidR="00185B9A" w:rsidRDefault="00CF5A7F" w:rsidP="00CF5A7F">
      <w:pPr>
        <w:tabs>
          <w:tab w:val="clear" w:pos="1276"/>
          <w:tab w:val="left" w:pos="1418"/>
          <w:tab w:val="left" w:pos="2977"/>
          <w:tab w:val="left" w:pos="4395"/>
        </w:tabs>
        <w:ind w:left="425" w:hanging="425"/>
      </w:pPr>
      <w:r>
        <w:t>29.</w:t>
      </w:r>
      <w:r>
        <w:tab/>
        <w:t xml:space="preserve">Es wird angemerkt, dass die Gemeinsame Tagung und die Tank-Arbeitsgruppe im Herbst 2023 darum gebeten hatten, die Probleme zu ermitteln, die sich ergeben würden, wenn die doppelte Zulassung nicht mehr zulässig wäre. Es wird vereinbart, dass zusätzliche </w:t>
      </w:r>
      <w:r w:rsidR="0080416E">
        <w:t>Zwischens</w:t>
      </w:r>
      <w:r>
        <w:t>itzungen stattfinden sollten, die sich auf die Identifizierung aller Fragen und Konsequenzen konzentrieren, die sich aus einer solch komplexen Änderung ergeben könnten. Es wird vorgeschlagen, bei diesen Sitzungen eine Liste von Fragen zu erstellen, die behandelt werden müssen, um einen reibungslosen Übergang für die Industrie zu ermöglichen, falls die doppelte Zulassung nicht mehr zulässig sein sollte.</w:t>
      </w:r>
    </w:p>
    <w:p w:rsidR="00CF5A7F" w:rsidRDefault="00CF5A7F" w:rsidP="00CF5A7F">
      <w:pPr>
        <w:tabs>
          <w:tab w:val="clear" w:pos="1276"/>
          <w:tab w:val="left" w:pos="1418"/>
          <w:tab w:val="left" w:pos="2977"/>
          <w:tab w:val="left" w:pos="4395"/>
        </w:tabs>
        <w:ind w:left="425" w:hanging="425"/>
      </w:pPr>
    </w:p>
    <w:p w:rsidR="00CF5A7F" w:rsidRDefault="00CF5A7F" w:rsidP="00CF5A7F">
      <w:pPr>
        <w:tabs>
          <w:tab w:val="clear" w:pos="1276"/>
          <w:tab w:val="left" w:pos="1418"/>
          <w:tab w:val="left" w:pos="2977"/>
          <w:tab w:val="left" w:pos="4395"/>
        </w:tabs>
        <w:ind w:left="425" w:hanging="425"/>
      </w:pPr>
      <w:r w:rsidRPr="00CF5A7F">
        <w:t>30.</w:t>
      </w:r>
      <w:r w:rsidRPr="00CF5A7F">
        <w:tab/>
        <w:t xml:space="preserve">Es </w:t>
      </w:r>
      <w:r>
        <w:t>wird</w:t>
      </w:r>
      <w:r w:rsidRPr="00CF5A7F">
        <w:t xml:space="preserve"> erklärt, dass sich die Probleme mit der Zertifizierung zu gegebener Zeit verringern würden. Es </w:t>
      </w:r>
      <w:r>
        <w:t>wird</w:t>
      </w:r>
      <w:r w:rsidRPr="00CF5A7F">
        <w:t xml:space="preserve"> jedoch die Ansicht vertreten, dass die Kosten für die Entfernung der Kennzeichnung auf den Tankschildern gemäß Kapitel 6.8 angesichts der großen Anzahl ortsbeweglicher Tanks, die weltweit in Betrieb sind, beträchtlich sein würden. Schließlich </w:t>
      </w:r>
      <w:r w:rsidR="000124DA">
        <w:t>wird</w:t>
      </w:r>
      <w:r w:rsidRPr="00CF5A7F">
        <w:t xml:space="preserve"> bei den Diskussionen festgestellt, dass in Fällen, in denen ortsbewegliche Tanks nach Kapitel 6.7 des IMDG-Codes zugelassen sind, jedoch nicht in einem RID-Vertragsstaat/einer ADR-Vertragspartei, dies zu einer Verweigerung der Annahme des Tanks zur Beförderung oder Befüllung führen kann. Um dieses Problem zu lösen, </w:t>
      </w:r>
      <w:r w:rsidR="000124DA">
        <w:t>entwickelt</w:t>
      </w:r>
      <w:r w:rsidRPr="00CF5A7F">
        <w:t xml:space="preserve"> die Arbeitsgruppe den folgenden Vorschlag:</w:t>
      </w:r>
    </w:p>
    <w:p w:rsidR="000124DA" w:rsidRDefault="000124DA" w:rsidP="000124DA">
      <w:pPr>
        <w:tabs>
          <w:tab w:val="clear" w:pos="1276"/>
          <w:tab w:val="left" w:pos="1418"/>
          <w:tab w:val="left" w:pos="2977"/>
          <w:tab w:val="left" w:pos="4395"/>
        </w:tabs>
        <w:ind w:left="425" w:hanging="425"/>
      </w:pPr>
    </w:p>
    <w:p w:rsidR="000124DA" w:rsidRDefault="000124DA" w:rsidP="000124DA">
      <w:pPr>
        <w:tabs>
          <w:tab w:val="clear" w:pos="425"/>
          <w:tab w:val="clear" w:pos="851"/>
          <w:tab w:val="clear" w:pos="1276"/>
          <w:tab w:val="left" w:pos="1985"/>
        </w:tabs>
        <w:ind w:left="425"/>
        <w:rPr>
          <w:rFonts w:cs="Arial"/>
          <w:b/>
          <w:szCs w:val="22"/>
        </w:rPr>
      </w:pPr>
      <w:r>
        <w:rPr>
          <w:rFonts w:cs="Arial"/>
          <w:b/>
          <w:szCs w:val="22"/>
        </w:rPr>
        <w:t>Antrag 9 (für die Ausgabe 2025 des RID/ADR)</w:t>
      </w:r>
    </w:p>
    <w:p w:rsidR="000124DA" w:rsidRDefault="000124DA" w:rsidP="000124DA">
      <w:pPr>
        <w:tabs>
          <w:tab w:val="clear" w:pos="1276"/>
          <w:tab w:val="left" w:pos="1418"/>
          <w:tab w:val="left" w:pos="2977"/>
          <w:tab w:val="left" w:pos="4395"/>
        </w:tabs>
        <w:ind w:left="850" w:hanging="425"/>
      </w:pPr>
    </w:p>
    <w:p w:rsidR="000124DA" w:rsidRDefault="000124DA" w:rsidP="000124DA">
      <w:pPr>
        <w:tabs>
          <w:tab w:val="clear" w:pos="1276"/>
          <w:tab w:val="left" w:pos="1418"/>
          <w:tab w:val="left" w:pos="1843"/>
          <w:tab w:val="left" w:pos="4395"/>
        </w:tabs>
        <w:ind w:left="1843" w:hanging="1418"/>
      </w:pPr>
      <w:r>
        <w:rPr>
          <w:b/>
        </w:rPr>
        <w:t>Kapitel 4.2</w:t>
      </w:r>
      <w:r>
        <w:rPr>
          <w:b/>
        </w:rPr>
        <w:tab/>
      </w:r>
      <w:r>
        <w:t>Die Bem. 2 nach der Überschrift erhält folgenden Wortlaut (neuer Text ist unterstrichen dargestellt</w:t>
      </w:r>
      <w:r w:rsidR="0080416E">
        <w:t>)</w:t>
      </w:r>
      <w:r>
        <w:t>:</w:t>
      </w:r>
    </w:p>
    <w:p w:rsidR="000124DA" w:rsidRDefault="000124DA" w:rsidP="000124DA">
      <w:pPr>
        <w:tabs>
          <w:tab w:val="clear" w:pos="1276"/>
          <w:tab w:val="left" w:pos="1418"/>
          <w:tab w:val="left" w:pos="2977"/>
          <w:tab w:val="left" w:pos="4395"/>
        </w:tabs>
        <w:ind w:left="1418" w:hanging="993"/>
      </w:pPr>
    </w:p>
    <w:p w:rsidR="000124DA" w:rsidRPr="000124DA" w:rsidRDefault="000124DA" w:rsidP="000124DA">
      <w:pPr>
        <w:tabs>
          <w:tab w:val="clear" w:pos="1276"/>
          <w:tab w:val="left" w:pos="1418"/>
          <w:tab w:val="left" w:pos="1701"/>
          <w:tab w:val="left" w:pos="2977"/>
          <w:tab w:val="left" w:pos="4395"/>
        </w:tabs>
        <w:ind w:left="2268" w:hanging="425"/>
      </w:pPr>
      <w:r>
        <w:t>"2.</w:t>
      </w:r>
      <w:r>
        <w:tab/>
      </w:r>
      <w:r w:rsidRPr="000124DA">
        <w:t>Ortsbewegliche Tanks und UN-MEGC, die nach den Vorsc</w:t>
      </w:r>
      <w:r>
        <w:t>hriften des Kapitels 6.7 gekenn</w:t>
      </w:r>
      <w:r w:rsidRPr="000124DA">
        <w:t xml:space="preserve">zeichnet sind, aber in einem Staat zugelassen wurden, der </w:t>
      </w:r>
      <w:r>
        <w:t>kein RID-Vertragsstaat/keine Vertragspartei des ADR</w:t>
      </w:r>
      <w:r w:rsidRPr="000124DA">
        <w:t xml:space="preserve"> ist, </w:t>
      </w:r>
      <w:r w:rsidRPr="000124DA">
        <w:rPr>
          <w:u w:val="single"/>
        </w:rPr>
        <w:t>oder nach Kapitel 6.7 des IMDG-Codes zugelassen wurden,</w:t>
      </w:r>
      <w:r>
        <w:t xml:space="preserve"> </w:t>
      </w:r>
      <w:r w:rsidRPr="000124DA">
        <w:t xml:space="preserve">dürfen auch für Beförderungen gemäß </w:t>
      </w:r>
      <w:r>
        <w:t>RID/</w:t>
      </w:r>
      <w:r w:rsidRPr="000124DA">
        <w:t>ADR verwendet werden.</w:t>
      </w:r>
      <w:r>
        <w:t>"</w:t>
      </w:r>
    </w:p>
    <w:p w:rsidR="000124DA" w:rsidRDefault="000124DA" w:rsidP="00CF5A7F">
      <w:pPr>
        <w:tabs>
          <w:tab w:val="clear" w:pos="1276"/>
          <w:tab w:val="left" w:pos="1418"/>
          <w:tab w:val="left" w:pos="2977"/>
          <w:tab w:val="left" w:pos="4395"/>
        </w:tabs>
        <w:ind w:left="425" w:hanging="425"/>
      </w:pPr>
    </w:p>
    <w:p w:rsidR="003447FA" w:rsidRPr="00185B9A" w:rsidRDefault="003447FA" w:rsidP="003447FA">
      <w:pPr>
        <w:tabs>
          <w:tab w:val="clear" w:pos="1276"/>
          <w:tab w:val="left" w:pos="1418"/>
          <w:tab w:val="left" w:pos="2977"/>
          <w:tab w:val="left" w:pos="4395"/>
        </w:tabs>
        <w:ind w:left="425" w:hanging="425"/>
        <w:jc w:val="center"/>
      </w:pPr>
      <w:r>
        <w:t>__________</w:t>
      </w:r>
      <w:bookmarkStart w:id="0" w:name="_GoBack"/>
      <w:bookmarkEnd w:id="0"/>
    </w:p>
    <w:sectPr w:rsidR="003447FA" w:rsidRPr="00185B9A" w:rsidSect="00F45AC5">
      <w:headerReference w:type="even" r:id="rId14"/>
      <w:type w:val="continuous"/>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CE" w:rsidRDefault="005166CE">
      <w:r>
        <w:separator/>
      </w:r>
    </w:p>
  </w:endnote>
  <w:endnote w:type="continuationSeparator" w:id="0">
    <w:p w:rsidR="005166CE" w:rsidRDefault="0051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CE" w:rsidRDefault="005166CE">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3447FA">
      <w:rPr>
        <w:rStyle w:val="Seitenzahl"/>
        <w:noProof/>
      </w:rPr>
      <w:t>8</w:t>
    </w:r>
    <w:r>
      <w:rPr>
        <w:rStyle w:val="Seitenzahl"/>
      </w:rPr>
      <w:fldChar w:fldCharType="end"/>
    </w:r>
  </w:p>
  <w:p w:rsidR="005166CE" w:rsidRDefault="005166CE">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CE" w:rsidRDefault="005166CE">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3447FA">
      <w:rPr>
        <w:rStyle w:val="Seitenzahl"/>
        <w:noProof/>
      </w:rPr>
      <w:t>9</w:t>
    </w:r>
    <w:r>
      <w:rPr>
        <w:rStyle w:val="Seitenzahl"/>
      </w:rPr>
      <w:fldChar w:fldCharType="end"/>
    </w:r>
  </w:p>
  <w:p w:rsidR="005166CE" w:rsidRDefault="005166CE">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CE" w:rsidRPr="0047163B" w:rsidRDefault="005166CE" w:rsidP="00B21279">
    <w:pPr>
      <w:pStyle w:val="Fuzeile"/>
      <w:jc w:val="center"/>
    </w:pPr>
    <w:r>
      <w:rPr>
        <w:noProof/>
      </w:rPr>
      <w:drawing>
        <wp:inline distT="0" distB="0" distL="0" distR="0">
          <wp:extent cx="5984240" cy="198120"/>
          <wp:effectExtent l="0" t="0" r="0" b="0"/>
          <wp:docPr id="2" name="Picture 1" descr="Footer - Letter -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 Letter - 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4240" cy="1981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CE" w:rsidRDefault="005166CE">
      <w:r>
        <w:separator/>
      </w:r>
    </w:p>
  </w:footnote>
  <w:footnote w:type="continuationSeparator" w:id="0">
    <w:p w:rsidR="005166CE" w:rsidRDefault="0051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CE" w:rsidRPr="00BE7CFB" w:rsidRDefault="005166CE">
    <w:pPr>
      <w:pStyle w:val="Kopfzeile"/>
      <w:rPr>
        <w:sz w:val="18"/>
        <w:szCs w:val="18"/>
        <w:lang w:val="de-CH"/>
      </w:rPr>
    </w:pPr>
    <w:r w:rsidRPr="00BE7CFB">
      <w:rPr>
        <w:sz w:val="18"/>
        <w:szCs w:val="18"/>
        <w:lang w:val="de-CH"/>
      </w:rPr>
      <w:t>OTIF/RID/</w:t>
    </w:r>
    <w:r w:rsidRPr="00BE7CFB">
      <w:rPr>
        <w:b/>
        <w:sz w:val="18"/>
        <w:szCs w:val="18"/>
        <w:lang w:val="de-CH"/>
      </w:rPr>
      <w:t>RC/201</w:t>
    </w:r>
    <w:r>
      <w:rPr>
        <w:b/>
        <w:sz w:val="18"/>
        <w:szCs w:val="18"/>
        <w:lang w:val="de-CH"/>
      </w:rPr>
      <w:t>1</w:t>
    </w:r>
    <w:r w:rsidRPr="00BE7CFB">
      <w:rPr>
        <w:b/>
        <w:sz w:val="18"/>
        <w:szCs w:val="18"/>
        <w:lang w:val="de-CH"/>
      </w:rPr>
      <w:t>/</w:t>
    </w:r>
    <w:r>
      <w:rPr>
        <w:b/>
        <w:sz w:val="18"/>
        <w:szCs w:val="18"/>
        <w:lang w:val="de-CH"/>
      </w:rPr>
      <w:t>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CE" w:rsidRPr="00BE7CFB" w:rsidRDefault="005166CE" w:rsidP="00BE7CFB">
    <w:pPr>
      <w:pStyle w:val="Kopfzeile"/>
      <w:jc w:val="right"/>
      <w:rPr>
        <w:sz w:val="18"/>
        <w:szCs w:val="18"/>
        <w:lang w:val="de-CH"/>
      </w:rPr>
    </w:pPr>
    <w:r w:rsidRPr="00922FF6">
      <w:rPr>
        <w:b/>
        <w:sz w:val="18"/>
        <w:szCs w:val="18"/>
        <w:lang w:val="de-CH"/>
      </w:rPr>
      <w:t xml:space="preserve">INF. </w:t>
    </w:r>
    <w:r w:rsidR="003447FA" w:rsidRPr="003447FA">
      <w:rPr>
        <w:b/>
        <w:sz w:val="18"/>
        <w:szCs w:val="18"/>
        <w:lang w:val="de-CH"/>
      </w:rPr>
      <w:t>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CE" w:rsidRDefault="005166CE" w:rsidP="00F472FD">
    <w:pPr>
      <w:pStyle w:val="Kopfzeile"/>
      <w:jc w:val="left"/>
    </w:pPr>
    <w:r>
      <w:rPr>
        <w:noProof/>
      </w:rPr>
      <w:drawing>
        <wp:inline distT="0" distB="0" distL="0" distR="0">
          <wp:extent cx="6121400" cy="736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736600"/>
                  </a:xfrm>
                  <a:prstGeom prst="rect">
                    <a:avLst/>
                  </a:prstGeom>
                  <a:noFill/>
                  <a:ln>
                    <a:noFill/>
                  </a:ln>
                </pic:spPr>
              </pic:pic>
            </a:graphicData>
          </a:graphic>
        </wp:inline>
      </w:drawing>
    </w:r>
  </w:p>
  <w:p w:rsidR="005166CE" w:rsidRDefault="005166CE" w:rsidP="00F472FD">
    <w:pPr>
      <w:pStyle w:val="Kopfzeile"/>
      <w:jc w:val="left"/>
    </w:pPr>
    <w:r>
      <w:t>__________________________________________________________________________________</w:t>
    </w:r>
  </w:p>
  <w:p w:rsidR="005166CE" w:rsidRPr="00F472FD" w:rsidRDefault="005166CE" w:rsidP="00F472F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CE" w:rsidRPr="004D69C0" w:rsidRDefault="005166CE">
    <w:pPr>
      <w:pStyle w:val="Kopfzeile"/>
      <w:rPr>
        <w:b/>
        <w:sz w:val="18"/>
        <w:szCs w:val="18"/>
        <w:lang w:val="de-CH"/>
      </w:rPr>
    </w:pPr>
    <w:r w:rsidRPr="00C958ED">
      <w:rPr>
        <w:b/>
        <w:sz w:val="18"/>
        <w:szCs w:val="18"/>
      </w:rPr>
      <w:t xml:space="preserve">INF. </w:t>
    </w:r>
    <w:r w:rsidR="003447FA">
      <w:rPr>
        <w:b/>
        <w:sz w:val="18"/>
        <w:szCs w:val="18"/>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52A9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C84855"/>
    <w:multiLevelType w:val="multilevel"/>
    <w:tmpl w:val="6E4A772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080"/>
        </w:tabs>
        <w:ind w:left="1080" w:hanging="1080"/>
      </w:pPr>
      <w:rPr>
        <w:rFonts w:hint="default"/>
        <w:b/>
      </w:rPr>
    </w:lvl>
    <w:lvl w:ilvl="2">
      <w:start w:val="4"/>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7"/>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46E7375"/>
    <w:multiLevelType w:val="hybridMultilevel"/>
    <w:tmpl w:val="4C68C9BA"/>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330159C7"/>
    <w:multiLevelType w:val="hybridMultilevel"/>
    <w:tmpl w:val="7A72E852"/>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3B310DC5"/>
    <w:multiLevelType w:val="singleLevel"/>
    <w:tmpl w:val="696CC1BC"/>
    <w:lvl w:ilvl="0">
      <w:start w:val="1"/>
      <w:numFmt w:val="decimal"/>
      <w:lvlText w:val="%1."/>
      <w:lvlJc w:val="left"/>
      <w:pPr>
        <w:tabs>
          <w:tab w:val="num" w:pos="420"/>
        </w:tabs>
        <w:ind w:left="420" w:hanging="420"/>
      </w:pPr>
      <w:rPr>
        <w:rFonts w:hint="default"/>
      </w:rPr>
    </w:lvl>
  </w:abstractNum>
  <w:abstractNum w:abstractNumId="5" w15:restartNumberingAfterBreak="0">
    <w:nsid w:val="486F07B0"/>
    <w:multiLevelType w:val="hybridMultilevel"/>
    <w:tmpl w:val="1C86CAFC"/>
    <w:lvl w:ilvl="0" w:tplc="D20814FC">
      <w:start w:val="1"/>
      <w:numFmt w:val="decimal"/>
      <w:lvlText w:val="%1."/>
      <w:lvlJc w:val="left"/>
      <w:pPr>
        <w:tabs>
          <w:tab w:val="num" w:pos="360"/>
        </w:tabs>
        <w:ind w:left="360" w:hanging="360"/>
      </w:pPr>
    </w:lvl>
    <w:lvl w:ilvl="1" w:tplc="45A88F04" w:tentative="1">
      <w:start w:val="1"/>
      <w:numFmt w:val="lowerLetter"/>
      <w:lvlText w:val="%2."/>
      <w:lvlJc w:val="left"/>
      <w:pPr>
        <w:tabs>
          <w:tab w:val="num" w:pos="1080"/>
        </w:tabs>
        <w:ind w:left="1080" w:hanging="360"/>
      </w:pPr>
    </w:lvl>
    <w:lvl w:ilvl="2" w:tplc="F190DFFE" w:tentative="1">
      <w:start w:val="1"/>
      <w:numFmt w:val="lowerRoman"/>
      <w:lvlText w:val="%3."/>
      <w:lvlJc w:val="right"/>
      <w:pPr>
        <w:tabs>
          <w:tab w:val="num" w:pos="1800"/>
        </w:tabs>
        <w:ind w:left="1800" w:hanging="180"/>
      </w:pPr>
    </w:lvl>
    <w:lvl w:ilvl="3" w:tplc="CDD4B9D2" w:tentative="1">
      <w:start w:val="1"/>
      <w:numFmt w:val="decimal"/>
      <w:lvlText w:val="%4."/>
      <w:lvlJc w:val="left"/>
      <w:pPr>
        <w:tabs>
          <w:tab w:val="num" w:pos="2520"/>
        </w:tabs>
        <w:ind w:left="2520" w:hanging="360"/>
      </w:pPr>
    </w:lvl>
    <w:lvl w:ilvl="4" w:tplc="5808B9E4" w:tentative="1">
      <w:start w:val="1"/>
      <w:numFmt w:val="lowerLetter"/>
      <w:lvlText w:val="%5."/>
      <w:lvlJc w:val="left"/>
      <w:pPr>
        <w:tabs>
          <w:tab w:val="num" w:pos="3240"/>
        </w:tabs>
        <w:ind w:left="3240" w:hanging="360"/>
      </w:pPr>
    </w:lvl>
    <w:lvl w:ilvl="5" w:tplc="12D83D92" w:tentative="1">
      <w:start w:val="1"/>
      <w:numFmt w:val="lowerRoman"/>
      <w:lvlText w:val="%6."/>
      <w:lvlJc w:val="right"/>
      <w:pPr>
        <w:tabs>
          <w:tab w:val="num" w:pos="3960"/>
        </w:tabs>
        <w:ind w:left="3960" w:hanging="180"/>
      </w:pPr>
    </w:lvl>
    <w:lvl w:ilvl="6" w:tplc="8172937A" w:tentative="1">
      <w:start w:val="1"/>
      <w:numFmt w:val="decimal"/>
      <w:lvlText w:val="%7."/>
      <w:lvlJc w:val="left"/>
      <w:pPr>
        <w:tabs>
          <w:tab w:val="num" w:pos="4680"/>
        </w:tabs>
        <w:ind w:left="4680" w:hanging="360"/>
      </w:pPr>
    </w:lvl>
    <w:lvl w:ilvl="7" w:tplc="444ECA7E" w:tentative="1">
      <w:start w:val="1"/>
      <w:numFmt w:val="lowerLetter"/>
      <w:lvlText w:val="%8."/>
      <w:lvlJc w:val="left"/>
      <w:pPr>
        <w:tabs>
          <w:tab w:val="num" w:pos="5400"/>
        </w:tabs>
        <w:ind w:left="5400" w:hanging="360"/>
      </w:pPr>
    </w:lvl>
    <w:lvl w:ilvl="8" w:tplc="FBCC716A" w:tentative="1">
      <w:start w:val="1"/>
      <w:numFmt w:val="lowerRoman"/>
      <w:lvlText w:val="%9."/>
      <w:lvlJc w:val="right"/>
      <w:pPr>
        <w:tabs>
          <w:tab w:val="num" w:pos="6120"/>
        </w:tabs>
        <w:ind w:left="6120" w:hanging="180"/>
      </w:pPr>
    </w:lvl>
  </w:abstractNum>
  <w:abstractNum w:abstractNumId="6" w15:restartNumberingAfterBreak="0">
    <w:nsid w:val="4B0262A8"/>
    <w:multiLevelType w:val="hybridMultilevel"/>
    <w:tmpl w:val="166C6B68"/>
    <w:lvl w:ilvl="0" w:tplc="D7BE3922">
      <w:start w:val="1"/>
      <w:numFmt w:val="decimal"/>
      <w:lvlText w:val="%1."/>
      <w:lvlJc w:val="left"/>
      <w:pPr>
        <w:tabs>
          <w:tab w:val="num" w:pos="720"/>
        </w:tabs>
        <w:ind w:left="720" w:hanging="360"/>
      </w:pPr>
    </w:lvl>
    <w:lvl w:ilvl="1" w:tplc="3E8AA322" w:tentative="1">
      <w:start w:val="1"/>
      <w:numFmt w:val="lowerLetter"/>
      <w:lvlText w:val="%2."/>
      <w:lvlJc w:val="left"/>
      <w:pPr>
        <w:tabs>
          <w:tab w:val="num" w:pos="1440"/>
        </w:tabs>
        <w:ind w:left="1440" w:hanging="360"/>
      </w:pPr>
    </w:lvl>
    <w:lvl w:ilvl="2" w:tplc="028404D0" w:tentative="1">
      <w:start w:val="1"/>
      <w:numFmt w:val="lowerRoman"/>
      <w:lvlText w:val="%3."/>
      <w:lvlJc w:val="right"/>
      <w:pPr>
        <w:tabs>
          <w:tab w:val="num" w:pos="2160"/>
        </w:tabs>
        <w:ind w:left="2160" w:hanging="180"/>
      </w:pPr>
    </w:lvl>
    <w:lvl w:ilvl="3" w:tplc="1AF21452" w:tentative="1">
      <w:start w:val="1"/>
      <w:numFmt w:val="decimal"/>
      <w:lvlText w:val="%4."/>
      <w:lvlJc w:val="left"/>
      <w:pPr>
        <w:tabs>
          <w:tab w:val="num" w:pos="2880"/>
        </w:tabs>
        <w:ind w:left="2880" w:hanging="360"/>
      </w:pPr>
    </w:lvl>
    <w:lvl w:ilvl="4" w:tplc="CD722AFA" w:tentative="1">
      <w:start w:val="1"/>
      <w:numFmt w:val="lowerLetter"/>
      <w:lvlText w:val="%5."/>
      <w:lvlJc w:val="left"/>
      <w:pPr>
        <w:tabs>
          <w:tab w:val="num" w:pos="3600"/>
        </w:tabs>
        <w:ind w:left="3600" w:hanging="360"/>
      </w:pPr>
    </w:lvl>
    <w:lvl w:ilvl="5" w:tplc="438CC8A4" w:tentative="1">
      <w:start w:val="1"/>
      <w:numFmt w:val="lowerRoman"/>
      <w:lvlText w:val="%6."/>
      <w:lvlJc w:val="right"/>
      <w:pPr>
        <w:tabs>
          <w:tab w:val="num" w:pos="4320"/>
        </w:tabs>
        <w:ind w:left="4320" w:hanging="180"/>
      </w:pPr>
    </w:lvl>
    <w:lvl w:ilvl="6" w:tplc="E8B4BE12" w:tentative="1">
      <w:start w:val="1"/>
      <w:numFmt w:val="decimal"/>
      <w:lvlText w:val="%7."/>
      <w:lvlJc w:val="left"/>
      <w:pPr>
        <w:tabs>
          <w:tab w:val="num" w:pos="5040"/>
        </w:tabs>
        <w:ind w:left="5040" w:hanging="360"/>
      </w:pPr>
    </w:lvl>
    <w:lvl w:ilvl="7" w:tplc="6A440A98" w:tentative="1">
      <w:start w:val="1"/>
      <w:numFmt w:val="lowerLetter"/>
      <w:lvlText w:val="%8."/>
      <w:lvlJc w:val="left"/>
      <w:pPr>
        <w:tabs>
          <w:tab w:val="num" w:pos="5760"/>
        </w:tabs>
        <w:ind w:left="5760" w:hanging="360"/>
      </w:pPr>
    </w:lvl>
    <w:lvl w:ilvl="8" w:tplc="C20E2B20" w:tentative="1">
      <w:start w:val="1"/>
      <w:numFmt w:val="lowerRoman"/>
      <w:lvlText w:val="%9."/>
      <w:lvlJc w:val="right"/>
      <w:pPr>
        <w:tabs>
          <w:tab w:val="num" w:pos="6480"/>
        </w:tabs>
        <w:ind w:left="6480" w:hanging="180"/>
      </w:pPr>
    </w:lvl>
  </w:abstractNum>
  <w:abstractNum w:abstractNumId="7" w15:restartNumberingAfterBreak="0">
    <w:nsid w:val="4CCC7D1B"/>
    <w:multiLevelType w:val="singleLevel"/>
    <w:tmpl w:val="B5E820EC"/>
    <w:lvl w:ilvl="0">
      <w:start w:val="20"/>
      <w:numFmt w:val="bullet"/>
      <w:lvlText w:val="-"/>
      <w:lvlJc w:val="left"/>
      <w:pPr>
        <w:tabs>
          <w:tab w:val="num" w:pos="420"/>
        </w:tabs>
        <w:ind w:left="420" w:hanging="420"/>
      </w:pPr>
      <w:rPr>
        <w:rFonts w:ascii="Times New Roman" w:hAnsi="Times New Roman" w:hint="default"/>
      </w:rPr>
    </w:lvl>
  </w:abstractNum>
  <w:abstractNum w:abstractNumId="8" w15:restartNumberingAfterBreak="0">
    <w:nsid w:val="559C797B"/>
    <w:multiLevelType w:val="hybridMultilevel"/>
    <w:tmpl w:val="15060C20"/>
    <w:lvl w:ilvl="0" w:tplc="09E8855C">
      <w:start w:val="1"/>
      <w:numFmt w:val="bullet"/>
      <w:lvlText w:val="-"/>
      <w:lvlJc w:val="left"/>
      <w:pPr>
        <w:tabs>
          <w:tab w:val="num" w:pos="720"/>
        </w:tabs>
        <w:ind w:left="720" w:hanging="360"/>
      </w:pPr>
      <w:rPr>
        <w:sz w:val="16"/>
      </w:rPr>
    </w:lvl>
    <w:lvl w:ilvl="1" w:tplc="7D92DED6" w:tentative="1">
      <w:start w:val="1"/>
      <w:numFmt w:val="bullet"/>
      <w:lvlText w:val="o"/>
      <w:lvlJc w:val="left"/>
      <w:pPr>
        <w:tabs>
          <w:tab w:val="num" w:pos="1440"/>
        </w:tabs>
        <w:ind w:left="1440" w:hanging="360"/>
      </w:pPr>
      <w:rPr>
        <w:rFonts w:ascii="Courier New" w:hAnsi="Courier New" w:hint="default"/>
      </w:rPr>
    </w:lvl>
    <w:lvl w:ilvl="2" w:tplc="3266C854" w:tentative="1">
      <w:start w:val="1"/>
      <w:numFmt w:val="bullet"/>
      <w:lvlText w:val=""/>
      <w:lvlJc w:val="left"/>
      <w:pPr>
        <w:tabs>
          <w:tab w:val="num" w:pos="2160"/>
        </w:tabs>
        <w:ind w:left="2160" w:hanging="360"/>
      </w:pPr>
      <w:rPr>
        <w:rFonts w:ascii="Wingdings" w:hAnsi="Wingdings" w:hint="default"/>
      </w:rPr>
    </w:lvl>
    <w:lvl w:ilvl="3" w:tplc="EBC0A49C" w:tentative="1">
      <w:start w:val="1"/>
      <w:numFmt w:val="bullet"/>
      <w:lvlText w:val=""/>
      <w:lvlJc w:val="left"/>
      <w:pPr>
        <w:tabs>
          <w:tab w:val="num" w:pos="2880"/>
        </w:tabs>
        <w:ind w:left="2880" w:hanging="360"/>
      </w:pPr>
      <w:rPr>
        <w:rFonts w:ascii="Symbol" w:hAnsi="Symbol" w:hint="default"/>
      </w:rPr>
    </w:lvl>
    <w:lvl w:ilvl="4" w:tplc="A782B742" w:tentative="1">
      <w:start w:val="1"/>
      <w:numFmt w:val="bullet"/>
      <w:lvlText w:val="o"/>
      <w:lvlJc w:val="left"/>
      <w:pPr>
        <w:tabs>
          <w:tab w:val="num" w:pos="3600"/>
        </w:tabs>
        <w:ind w:left="3600" w:hanging="360"/>
      </w:pPr>
      <w:rPr>
        <w:rFonts w:ascii="Courier New" w:hAnsi="Courier New" w:hint="default"/>
      </w:rPr>
    </w:lvl>
    <w:lvl w:ilvl="5" w:tplc="FACE3A8E" w:tentative="1">
      <w:start w:val="1"/>
      <w:numFmt w:val="bullet"/>
      <w:lvlText w:val=""/>
      <w:lvlJc w:val="left"/>
      <w:pPr>
        <w:tabs>
          <w:tab w:val="num" w:pos="4320"/>
        </w:tabs>
        <w:ind w:left="4320" w:hanging="360"/>
      </w:pPr>
      <w:rPr>
        <w:rFonts w:ascii="Wingdings" w:hAnsi="Wingdings" w:hint="default"/>
      </w:rPr>
    </w:lvl>
    <w:lvl w:ilvl="6" w:tplc="A6743E4C" w:tentative="1">
      <w:start w:val="1"/>
      <w:numFmt w:val="bullet"/>
      <w:lvlText w:val=""/>
      <w:lvlJc w:val="left"/>
      <w:pPr>
        <w:tabs>
          <w:tab w:val="num" w:pos="5040"/>
        </w:tabs>
        <w:ind w:left="5040" w:hanging="360"/>
      </w:pPr>
      <w:rPr>
        <w:rFonts w:ascii="Symbol" w:hAnsi="Symbol" w:hint="default"/>
      </w:rPr>
    </w:lvl>
    <w:lvl w:ilvl="7" w:tplc="4C54B878" w:tentative="1">
      <w:start w:val="1"/>
      <w:numFmt w:val="bullet"/>
      <w:lvlText w:val="o"/>
      <w:lvlJc w:val="left"/>
      <w:pPr>
        <w:tabs>
          <w:tab w:val="num" w:pos="5760"/>
        </w:tabs>
        <w:ind w:left="5760" w:hanging="360"/>
      </w:pPr>
      <w:rPr>
        <w:rFonts w:ascii="Courier New" w:hAnsi="Courier New" w:hint="default"/>
      </w:rPr>
    </w:lvl>
    <w:lvl w:ilvl="8" w:tplc="4F4C74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F40DA1"/>
    <w:multiLevelType w:val="singleLevel"/>
    <w:tmpl w:val="F8B6E9E4"/>
    <w:lvl w:ilvl="0">
      <w:start w:val="1"/>
      <w:numFmt w:val="lowerLetter"/>
      <w:lvlText w:val="%1)"/>
      <w:lvlJc w:val="left"/>
      <w:pPr>
        <w:tabs>
          <w:tab w:val="num" w:pos="1440"/>
        </w:tabs>
        <w:ind w:left="1440" w:hanging="360"/>
      </w:pPr>
      <w:rPr>
        <w:rFonts w:hint="default"/>
      </w:rPr>
    </w:lvl>
  </w:abstractNum>
  <w:abstractNum w:abstractNumId="10" w15:restartNumberingAfterBreak="0">
    <w:nsid w:val="69BF1B76"/>
    <w:multiLevelType w:val="hybridMultilevel"/>
    <w:tmpl w:val="FE1E90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5F76781"/>
    <w:multiLevelType w:val="singleLevel"/>
    <w:tmpl w:val="365CD4E2"/>
    <w:lvl w:ilvl="0">
      <w:start w:val="200"/>
      <w:numFmt w:val="bullet"/>
      <w:lvlText w:val="-"/>
      <w:lvlJc w:val="left"/>
      <w:pPr>
        <w:tabs>
          <w:tab w:val="num" w:pos="1069"/>
        </w:tabs>
        <w:ind w:left="1069" w:hanging="360"/>
      </w:pPr>
      <w:rPr>
        <w:rFonts w:ascii="Times New Roman" w:hAnsi="Times New Roman" w:hint="default"/>
      </w:rPr>
    </w:lvl>
  </w:abstractNum>
  <w:num w:numId="1">
    <w:abstractNumId w:val="1"/>
  </w:num>
  <w:num w:numId="2">
    <w:abstractNumId w:val="11"/>
  </w:num>
  <w:num w:numId="3">
    <w:abstractNumId w:val="9"/>
  </w:num>
  <w:num w:numId="4">
    <w:abstractNumId w:val="0"/>
  </w:num>
  <w:num w:numId="5">
    <w:abstractNumId w:val="4"/>
  </w:num>
  <w:num w:numId="6">
    <w:abstractNumId w:val="7"/>
  </w:num>
  <w:num w:numId="7">
    <w:abstractNumId w:val="8"/>
  </w:num>
  <w:num w:numId="8">
    <w:abstractNumId w:val="5"/>
  </w:num>
  <w:num w:numId="9">
    <w:abstractNumId w:val="6"/>
  </w:num>
  <w:num w:numId="10">
    <w:abstractNumId w:val="1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B8"/>
    <w:rsid w:val="0000458D"/>
    <w:rsid w:val="00007CB1"/>
    <w:rsid w:val="000124DA"/>
    <w:rsid w:val="000372D1"/>
    <w:rsid w:val="0005681B"/>
    <w:rsid w:val="00057113"/>
    <w:rsid w:val="00060EB4"/>
    <w:rsid w:val="00067DDD"/>
    <w:rsid w:val="00071074"/>
    <w:rsid w:val="000778EF"/>
    <w:rsid w:val="000818D1"/>
    <w:rsid w:val="000851BF"/>
    <w:rsid w:val="0009374A"/>
    <w:rsid w:val="000A1577"/>
    <w:rsid w:val="000A564A"/>
    <w:rsid w:val="000A59FB"/>
    <w:rsid w:val="000B2636"/>
    <w:rsid w:val="000C7870"/>
    <w:rsid w:val="000E6F16"/>
    <w:rsid w:val="000F5E37"/>
    <w:rsid w:val="0010783E"/>
    <w:rsid w:val="00133415"/>
    <w:rsid w:val="001349A5"/>
    <w:rsid w:val="00143927"/>
    <w:rsid w:val="00151657"/>
    <w:rsid w:val="00154181"/>
    <w:rsid w:val="00156E2C"/>
    <w:rsid w:val="001759D2"/>
    <w:rsid w:val="00181138"/>
    <w:rsid w:val="00184238"/>
    <w:rsid w:val="00185B9A"/>
    <w:rsid w:val="001B4EF9"/>
    <w:rsid w:val="001B69B3"/>
    <w:rsid w:val="001E2089"/>
    <w:rsid w:val="001E50D8"/>
    <w:rsid w:val="001F38D3"/>
    <w:rsid w:val="0022128A"/>
    <w:rsid w:val="00221DE7"/>
    <w:rsid w:val="00221FC7"/>
    <w:rsid w:val="002236EC"/>
    <w:rsid w:val="00231BF1"/>
    <w:rsid w:val="00245AAC"/>
    <w:rsid w:val="00260D5E"/>
    <w:rsid w:val="00267E5A"/>
    <w:rsid w:val="002708C2"/>
    <w:rsid w:val="002B2562"/>
    <w:rsid w:val="002C2995"/>
    <w:rsid w:val="002E681B"/>
    <w:rsid w:val="002F6E0B"/>
    <w:rsid w:val="00324DA7"/>
    <w:rsid w:val="00331574"/>
    <w:rsid w:val="0033433C"/>
    <w:rsid w:val="003415EB"/>
    <w:rsid w:val="0034430F"/>
    <w:rsid w:val="003447FA"/>
    <w:rsid w:val="00361A9B"/>
    <w:rsid w:val="00364B4F"/>
    <w:rsid w:val="00382780"/>
    <w:rsid w:val="00382792"/>
    <w:rsid w:val="00385FA9"/>
    <w:rsid w:val="00392AB8"/>
    <w:rsid w:val="003A5B23"/>
    <w:rsid w:val="003E0433"/>
    <w:rsid w:val="003E17BC"/>
    <w:rsid w:val="00414F81"/>
    <w:rsid w:val="00436321"/>
    <w:rsid w:val="004426F0"/>
    <w:rsid w:val="00450C1B"/>
    <w:rsid w:val="00450E1C"/>
    <w:rsid w:val="004806DA"/>
    <w:rsid w:val="004924B0"/>
    <w:rsid w:val="00494590"/>
    <w:rsid w:val="004A30C5"/>
    <w:rsid w:val="004A5450"/>
    <w:rsid w:val="004A678F"/>
    <w:rsid w:val="004A6F9A"/>
    <w:rsid w:val="004D0D73"/>
    <w:rsid w:val="004D69C0"/>
    <w:rsid w:val="004E3175"/>
    <w:rsid w:val="00511A7F"/>
    <w:rsid w:val="005166CE"/>
    <w:rsid w:val="00517DC6"/>
    <w:rsid w:val="005258B1"/>
    <w:rsid w:val="005264CE"/>
    <w:rsid w:val="005466F3"/>
    <w:rsid w:val="00546EFE"/>
    <w:rsid w:val="005545E2"/>
    <w:rsid w:val="00556C61"/>
    <w:rsid w:val="0055791E"/>
    <w:rsid w:val="00575910"/>
    <w:rsid w:val="00576A0E"/>
    <w:rsid w:val="005818EE"/>
    <w:rsid w:val="005B0125"/>
    <w:rsid w:val="005B3426"/>
    <w:rsid w:val="005B36E7"/>
    <w:rsid w:val="005B4827"/>
    <w:rsid w:val="005B79DA"/>
    <w:rsid w:val="005C1709"/>
    <w:rsid w:val="005C3D54"/>
    <w:rsid w:val="005D18DA"/>
    <w:rsid w:val="005F4D3B"/>
    <w:rsid w:val="005F7165"/>
    <w:rsid w:val="0061183E"/>
    <w:rsid w:val="0061363E"/>
    <w:rsid w:val="00615497"/>
    <w:rsid w:val="006317B4"/>
    <w:rsid w:val="006335C0"/>
    <w:rsid w:val="00644673"/>
    <w:rsid w:val="00647E6B"/>
    <w:rsid w:val="00651C38"/>
    <w:rsid w:val="00672147"/>
    <w:rsid w:val="006767DD"/>
    <w:rsid w:val="006930B9"/>
    <w:rsid w:val="006A07B9"/>
    <w:rsid w:val="006B37EC"/>
    <w:rsid w:val="006B7ADF"/>
    <w:rsid w:val="006C0871"/>
    <w:rsid w:val="006C3CC7"/>
    <w:rsid w:val="006C4743"/>
    <w:rsid w:val="006D155D"/>
    <w:rsid w:val="006D4C8A"/>
    <w:rsid w:val="006E295F"/>
    <w:rsid w:val="006F22F2"/>
    <w:rsid w:val="0070019B"/>
    <w:rsid w:val="00707A96"/>
    <w:rsid w:val="0071218A"/>
    <w:rsid w:val="00716252"/>
    <w:rsid w:val="00732DAD"/>
    <w:rsid w:val="00746C3A"/>
    <w:rsid w:val="007508A3"/>
    <w:rsid w:val="0075222A"/>
    <w:rsid w:val="00752CEC"/>
    <w:rsid w:val="00757DF7"/>
    <w:rsid w:val="00787889"/>
    <w:rsid w:val="007A079F"/>
    <w:rsid w:val="007A2663"/>
    <w:rsid w:val="007A4CDC"/>
    <w:rsid w:val="007B6FA5"/>
    <w:rsid w:val="007C21EF"/>
    <w:rsid w:val="0080416E"/>
    <w:rsid w:val="00813A6C"/>
    <w:rsid w:val="008262C8"/>
    <w:rsid w:val="00846FD7"/>
    <w:rsid w:val="008511CE"/>
    <w:rsid w:val="00866BED"/>
    <w:rsid w:val="00891C16"/>
    <w:rsid w:val="008A0C50"/>
    <w:rsid w:val="008C7EC7"/>
    <w:rsid w:val="00903A86"/>
    <w:rsid w:val="00921B18"/>
    <w:rsid w:val="00922FF6"/>
    <w:rsid w:val="0093239D"/>
    <w:rsid w:val="00935A06"/>
    <w:rsid w:val="00944A9E"/>
    <w:rsid w:val="00965F37"/>
    <w:rsid w:val="00975734"/>
    <w:rsid w:val="00976DB9"/>
    <w:rsid w:val="00984039"/>
    <w:rsid w:val="009970F1"/>
    <w:rsid w:val="009A058A"/>
    <w:rsid w:val="009A08AC"/>
    <w:rsid w:val="009A3430"/>
    <w:rsid w:val="009A68B3"/>
    <w:rsid w:val="009B642A"/>
    <w:rsid w:val="009E3563"/>
    <w:rsid w:val="009F1217"/>
    <w:rsid w:val="00A04933"/>
    <w:rsid w:val="00A059E4"/>
    <w:rsid w:val="00A40696"/>
    <w:rsid w:val="00A53395"/>
    <w:rsid w:val="00A54E69"/>
    <w:rsid w:val="00A74442"/>
    <w:rsid w:val="00A77B83"/>
    <w:rsid w:val="00A80400"/>
    <w:rsid w:val="00A84CCB"/>
    <w:rsid w:val="00A8797F"/>
    <w:rsid w:val="00A92655"/>
    <w:rsid w:val="00A94AC1"/>
    <w:rsid w:val="00AB46E8"/>
    <w:rsid w:val="00AB6B4B"/>
    <w:rsid w:val="00AC49F8"/>
    <w:rsid w:val="00AD107E"/>
    <w:rsid w:val="00B1002A"/>
    <w:rsid w:val="00B126ED"/>
    <w:rsid w:val="00B17522"/>
    <w:rsid w:val="00B21279"/>
    <w:rsid w:val="00B4268D"/>
    <w:rsid w:val="00B5411C"/>
    <w:rsid w:val="00B60FC6"/>
    <w:rsid w:val="00B63BC4"/>
    <w:rsid w:val="00B70620"/>
    <w:rsid w:val="00B727BE"/>
    <w:rsid w:val="00B92E89"/>
    <w:rsid w:val="00BB78C8"/>
    <w:rsid w:val="00BE2EEA"/>
    <w:rsid w:val="00BE7CFB"/>
    <w:rsid w:val="00BF2574"/>
    <w:rsid w:val="00BF3629"/>
    <w:rsid w:val="00C04117"/>
    <w:rsid w:val="00C04A5E"/>
    <w:rsid w:val="00C07794"/>
    <w:rsid w:val="00C13E45"/>
    <w:rsid w:val="00C15DA3"/>
    <w:rsid w:val="00C2402B"/>
    <w:rsid w:val="00C327D4"/>
    <w:rsid w:val="00C533FA"/>
    <w:rsid w:val="00C55B1B"/>
    <w:rsid w:val="00C56C94"/>
    <w:rsid w:val="00C6226D"/>
    <w:rsid w:val="00C815F9"/>
    <w:rsid w:val="00C83F27"/>
    <w:rsid w:val="00C958ED"/>
    <w:rsid w:val="00CA5345"/>
    <w:rsid w:val="00CC0A4F"/>
    <w:rsid w:val="00CC7C44"/>
    <w:rsid w:val="00CD237D"/>
    <w:rsid w:val="00CD548D"/>
    <w:rsid w:val="00CE66FC"/>
    <w:rsid w:val="00CF2396"/>
    <w:rsid w:val="00CF5A7F"/>
    <w:rsid w:val="00CF5F09"/>
    <w:rsid w:val="00D03B5B"/>
    <w:rsid w:val="00D05A14"/>
    <w:rsid w:val="00D10932"/>
    <w:rsid w:val="00D139A6"/>
    <w:rsid w:val="00D16CFA"/>
    <w:rsid w:val="00D42830"/>
    <w:rsid w:val="00D517FD"/>
    <w:rsid w:val="00D551FD"/>
    <w:rsid w:val="00D62C81"/>
    <w:rsid w:val="00D76CD0"/>
    <w:rsid w:val="00D90820"/>
    <w:rsid w:val="00D948D2"/>
    <w:rsid w:val="00D954B8"/>
    <w:rsid w:val="00D96435"/>
    <w:rsid w:val="00D97EA6"/>
    <w:rsid w:val="00DB0B1D"/>
    <w:rsid w:val="00DC3A2F"/>
    <w:rsid w:val="00DC4C56"/>
    <w:rsid w:val="00DD2698"/>
    <w:rsid w:val="00DE0A32"/>
    <w:rsid w:val="00DE2D92"/>
    <w:rsid w:val="00DE2DFB"/>
    <w:rsid w:val="00DE4620"/>
    <w:rsid w:val="00DE713D"/>
    <w:rsid w:val="00DF7270"/>
    <w:rsid w:val="00E57B7F"/>
    <w:rsid w:val="00E617F3"/>
    <w:rsid w:val="00E649C5"/>
    <w:rsid w:val="00E9092B"/>
    <w:rsid w:val="00E97EA3"/>
    <w:rsid w:val="00EA17E1"/>
    <w:rsid w:val="00EA2B7D"/>
    <w:rsid w:val="00EB4361"/>
    <w:rsid w:val="00EC0CD2"/>
    <w:rsid w:val="00EC6C73"/>
    <w:rsid w:val="00ED40CB"/>
    <w:rsid w:val="00EE168C"/>
    <w:rsid w:val="00EE22B8"/>
    <w:rsid w:val="00F07648"/>
    <w:rsid w:val="00F2554A"/>
    <w:rsid w:val="00F30BA6"/>
    <w:rsid w:val="00F45AC5"/>
    <w:rsid w:val="00F472FD"/>
    <w:rsid w:val="00F508F0"/>
    <w:rsid w:val="00F51996"/>
    <w:rsid w:val="00F5325E"/>
    <w:rsid w:val="00F64681"/>
    <w:rsid w:val="00F65450"/>
    <w:rsid w:val="00F759A6"/>
    <w:rsid w:val="00F8118E"/>
    <w:rsid w:val="00F91F2B"/>
    <w:rsid w:val="00F942CD"/>
    <w:rsid w:val="00FB6BC5"/>
    <w:rsid w:val="00FC0CB8"/>
    <w:rsid w:val="00FE546E"/>
    <w:rsid w:val="00FF4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F97AD5"/>
  <w15:docId w15:val="{26A3E17D-E3FE-440D-B54D-5A50A081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2C81"/>
    <w:pPr>
      <w:tabs>
        <w:tab w:val="left" w:pos="425"/>
        <w:tab w:val="left" w:pos="851"/>
        <w:tab w:val="left" w:pos="1276"/>
      </w:tabs>
      <w:jc w:val="both"/>
    </w:pPr>
    <w:rPr>
      <w:rFonts w:ascii="Arial" w:hAnsi="Arial"/>
      <w:color w:val="000000"/>
      <w:sz w:val="22"/>
    </w:rPr>
  </w:style>
  <w:style w:type="paragraph" w:styleId="berschrift1">
    <w:name w:val="heading 1"/>
    <w:basedOn w:val="Standard"/>
    <w:next w:val="Standard"/>
    <w:qFormat/>
    <w:rsid w:val="00D62C81"/>
    <w:pPr>
      <w:keepNext/>
      <w:ind w:left="1276" w:hanging="1276"/>
      <w:outlineLvl w:val="0"/>
    </w:pPr>
    <w:rPr>
      <w:b/>
    </w:rPr>
  </w:style>
  <w:style w:type="paragraph" w:styleId="berschrift2">
    <w:name w:val="heading 2"/>
    <w:basedOn w:val="Standard"/>
    <w:next w:val="Standard"/>
    <w:qFormat/>
    <w:rsid w:val="00D62C81"/>
    <w:pPr>
      <w:keepNext/>
      <w:ind w:left="1276" w:hanging="1276"/>
      <w:outlineLvl w:val="1"/>
    </w:pPr>
    <w:rPr>
      <w:u w:val="single"/>
    </w:rPr>
  </w:style>
  <w:style w:type="paragraph" w:styleId="berschrift3">
    <w:name w:val="heading 3"/>
    <w:basedOn w:val="Standard"/>
    <w:next w:val="Standard"/>
    <w:qFormat/>
    <w:rsid w:val="00D62C81"/>
    <w:pPr>
      <w:keepNext/>
      <w:outlineLvl w:val="2"/>
    </w:pPr>
    <w:rPr>
      <w:b/>
    </w:rPr>
  </w:style>
  <w:style w:type="paragraph" w:styleId="berschrift4">
    <w:name w:val="heading 4"/>
    <w:basedOn w:val="Standard"/>
    <w:next w:val="Standard"/>
    <w:qFormat/>
    <w:rsid w:val="00D62C81"/>
    <w:pPr>
      <w:keepNext/>
      <w:outlineLvl w:val="3"/>
    </w:pPr>
    <w:rPr>
      <w:u w:val="single"/>
    </w:rPr>
  </w:style>
  <w:style w:type="paragraph" w:styleId="berschrift5">
    <w:name w:val="heading 5"/>
    <w:basedOn w:val="Standard"/>
    <w:next w:val="Standard"/>
    <w:qFormat/>
    <w:rsid w:val="00D62C81"/>
    <w:pPr>
      <w:keepNext/>
      <w:framePr w:w="4741" w:h="1470" w:hSpace="141" w:wrap="around" w:vAnchor="text" w:hAnchor="page" w:x="6343" w:yAlign="top"/>
      <w:pBdr>
        <w:top w:val="single" w:sz="6" w:space="1" w:color="auto"/>
        <w:left w:val="single" w:sz="6" w:space="1" w:color="auto"/>
        <w:bottom w:val="single" w:sz="6" w:space="1" w:color="auto"/>
        <w:right w:val="single" w:sz="6" w:space="1" w:color="auto"/>
      </w:pBdr>
      <w:ind w:left="1077"/>
      <w:jc w:val="right"/>
      <w:outlineLvl w:val="4"/>
    </w:pPr>
    <w:rPr>
      <w:b/>
      <w:lang w:val="en-GB"/>
    </w:rPr>
  </w:style>
  <w:style w:type="paragraph" w:styleId="berschrift6">
    <w:name w:val="heading 6"/>
    <w:basedOn w:val="Standard"/>
    <w:next w:val="Standard"/>
    <w:qFormat/>
    <w:rsid w:val="00D62C81"/>
    <w:pPr>
      <w:keepNext/>
      <w:outlineLvl w:val="5"/>
    </w:pPr>
    <w:rPr>
      <w:b/>
    </w:rPr>
  </w:style>
  <w:style w:type="paragraph" w:styleId="berschrift7">
    <w:name w:val="heading 7"/>
    <w:basedOn w:val="Standard"/>
    <w:next w:val="Standard"/>
    <w:qFormat/>
    <w:rsid w:val="00D62C81"/>
    <w:pPr>
      <w:keepNext/>
      <w:outlineLvl w:val="6"/>
    </w:pPr>
    <w:rPr>
      <w:u w:val="single"/>
    </w:rPr>
  </w:style>
  <w:style w:type="paragraph" w:styleId="berschrift8">
    <w:name w:val="heading 8"/>
    <w:basedOn w:val="Standard"/>
    <w:next w:val="Standard"/>
    <w:qFormat/>
    <w:rsid w:val="00D62C81"/>
    <w:pPr>
      <w:keepNext/>
      <w:ind w:left="425" w:hanging="425"/>
      <w:outlineLvl w:val="7"/>
    </w:pPr>
    <w:rPr>
      <w:u w:val="single"/>
    </w:rPr>
  </w:style>
  <w:style w:type="paragraph" w:styleId="berschrift9">
    <w:name w:val="heading 9"/>
    <w:basedOn w:val="Standard"/>
    <w:next w:val="Standard"/>
    <w:qFormat/>
    <w:rsid w:val="00D62C81"/>
    <w:pPr>
      <w:keepNext/>
      <w:outlineLvl w:val="8"/>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 Abschnitt"/>
    <w:basedOn w:val="Standard"/>
    <w:rsid w:val="00D62C81"/>
    <w:pPr>
      <w:ind w:left="357" w:hanging="357"/>
    </w:pPr>
    <w:rPr>
      <w:color w:val="auto"/>
      <w:lang w:val="fr-FR"/>
    </w:rPr>
  </w:style>
  <w:style w:type="paragraph" w:styleId="Kopfzeile">
    <w:name w:val="header"/>
    <w:aliases w:val="6_G"/>
    <w:basedOn w:val="Standard"/>
    <w:link w:val="KopfzeileZchn"/>
    <w:uiPriority w:val="99"/>
    <w:rsid w:val="00D62C81"/>
    <w:pPr>
      <w:tabs>
        <w:tab w:val="center" w:pos="4536"/>
        <w:tab w:val="right" w:pos="9072"/>
      </w:tabs>
    </w:pPr>
  </w:style>
  <w:style w:type="paragraph" w:customStyle="1" w:styleId="Textvorschlag">
    <w:name w:val="Textvorschlag"/>
    <w:basedOn w:val="Standard"/>
    <w:rsid w:val="00D62C81"/>
    <w:pPr>
      <w:ind w:left="851" w:right="851"/>
    </w:pPr>
  </w:style>
  <w:style w:type="character" w:styleId="Seitenzahl">
    <w:name w:val="page number"/>
    <w:basedOn w:val="Absatz-Standardschriftart"/>
    <w:rsid w:val="00D62C81"/>
    <w:rPr>
      <w:rFonts w:ascii="Arial" w:hAnsi="Arial"/>
      <w:sz w:val="18"/>
    </w:rPr>
  </w:style>
  <w:style w:type="paragraph" w:customStyle="1" w:styleId="Randnummer">
    <w:name w:val="Randnummer"/>
    <w:basedOn w:val="Standard"/>
    <w:rsid w:val="00D62C81"/>
    <w:pPr>
      <w:tabs>
        <w:tab w:val="left" w:pos="580"/>
        <w:tab w:val="left" w:pos="1100"/>
      </w:tabs>
      <w:spacing w:before="180"/>
      <w:ind w:left="1080" w:hanging="1080"/>
    </w:pPr>
    <w:rPr>
      <w:sz w:val="18"/>
    </w:rPr>
  </w:style>
  <w:style w:type="paragraph" w:customStyle="1" w:styleId="Normaltext">
    <w:name w:val="Normaltext"/>
    <w:basedOn w:val="Standard"/>
    <w:rsid w:val="00D62C81"/>
    <w:pPr>
      <w:spacing w:before="180"/>
      <w:ind w:left="1080"/>
    </w:pPr>
    <w:rPr>
      <w:sz w:val="18"/>
    </w:rPr>
  </w:style>
  <w:style w:type="paragraph" w:customStyle="1" w:styleId="NormalBemerkung">
    <w:name w:val="Normal Bemerkung"/>
    <w:basedOn w:val="Standard"/>
    <w:rsid w:val="00D62C81"/>
    <w:pPr>
      <w:tabs>
        <w:tab w:val="left" w:pos="1700"/>
      </w:tabs>
      <w:spacing w:before="60"/>
      <w:ind w:left="1680" w:hanging="600"/>
    </w:pPr>
    <w:rPr>
      <w:sz w:val="18"/>
    </w:rPr>
  </w:style>
  <w:style w:type="paragraph" w:customStyle="1" w:styleId="NormalList">
    <w:name w:val="Normal List"/>
    <w:basedOn w:val="Standard"/>
    <w:rsid w:val="00D62C81"/>
    <w:pPr>
      <w:tabs>
        <w:tab w:val="left" w:pos="1400"/>
      </w:tabs>
      <w:spacing w:before="60"/>
      <w:ind w:left="1380" w:hanging="300"/>
    </w:pPr>
    <w:rPr>
      <w:sz w:val="18"/>
    </w:rPr>
  </w:style>
  <w:style w:type="paragraph" w:styleId="Funotentext">
    <w:name w:val="footnote text"/>
    <w:aliases w:val="5_G"/>
    <w:basedOn w:val="NormalList"/>
    <w:rsid w:val="00D62C81"/>
    <w:pPr>
      <w:spacing w:before="180"/>
      <w:ind w:left="1440" w:hanging="360"/>
    </w:pPr>
  </w:style>
  <w:style w:type="character" w:styleId="Funotenzeichen">
    <w:name w:val="footnote reference"/>
    <w:aliases w:val="4_G,Footnote Reference/"/>
    <w:basedOn w:val="Absatz-Standardschriftart"/>
    <w:rsid w:val="00D62C81"/>
    <w:rPr>
      <w:position w:val="6"/>
      <w:sz w:val="12"/>
    </w:rPr>
  </w:style>
  <w:style w:type="paragraph" w:customStyle="1" w:styleId="Gliederung11">
    <w:name w:val="Gliederung 1.1"/>
    <w:basedOn w:val="Standard"/>
    <w:rsid w:val="00D62C81"/>
    <w:pPr>
      <w:ind w:left="1163" w:hanging="454"/>
    </w:pPr>
    <w:rPr>
      <w:color w:val="auto"/>
    </w:rPr>
  </w:style>
  <w:style w:type="paragraph" w:styleId="Fuzeile">
    <w:name w:val="footer"/>
    <w:basedOn w:val="Standard"/>
    <w:rsid w:val="00D62C81"/>
    <w:pPr>
      <w:tabs>
        <w:tab w:val="center" w:pos="4536"/>
        <w:tab w:val="right" w:pos="9072"/>
      </w:tabs>
      <w:jc w:val="left"/>
    </w:pPr>
    <w:rPr>
      <w:color w:val="auto"/>
    </w:rPr>
  </w:style>
  <w:style w:type="paragraph" w:customStyle="1" w:styleId="NormaltextSpalte">
    <w:name w:val="Normaltext Spalte"/>
    <w:basedOn w:val="Normaltext"/>
    <w:rsid w:val="00D62C81"/>
    <w:pPr>
      <w:ind w:left="0"/>
    </w:pPr>
  </w:style>
  <w:style w:type="paragraph" w:customStyle="1" w:styleId="NormalBemSpalte">
    <w:name w:val="Normal Bem. Spalte"/>
    <w:basedOn w:val="NormaltextSpalte"/>
    <w:rsid w:val="00D62C81"/>
    <w:pPr>
      <w:tabs>
        <w:tab w:val="left" w:pos="641"/>
      </w:tabs>
      <w:ind w:left="641" w:hanging="641"/>
    </w:pPr>
  </w:style>
  <w:style w:type="paragraph" w:customStyle="1" w:styleId="NormalListSpalte">
    <w:name w:val="Normal List Spalte"/>
    <w:basedOn w:val="NormalList"/>
    <w:rsid w:val="00D62C81"/>
    <w:pPr>
      <w:tabs>
        <w:tab w:val="clear" w:pos="1400"/>
        <w:tab w:val="left" w:pos="215"/>
      </w:tabs>
      <w:ind w:left="215" w:hanging="215"/>
    </w:pPr>
  </w:style>
  <w:style w:type="character" w:styleId="Kommentarzeichen">
    <w:name w:val="annotation reference"/>
    <w:basedOn w:val="Absatz-Standardschriftart"/>
    <w:uiPriority w:val="99"/>
    <w:semiHidden/>
    <w:rsid w:val="00D62C81"/>
    <w:rPr>
      <w:rFonts w:ascii="Arial" w:hAnsi="Arial"/>
      <w:sz w:val="16"/>
    </w:rPr>
  </w:style>
  <w:style w:type="paragraph" w:styleId="Kommentartext">
    <w:name w:val="annotation text"/>
    <w:basedOn w:val="Standard"/>
    <w:link w:val="KommentartextZchn"/>
    <w:uiPriority w:val="99"/>
    <w:semiHidden/>
    <w:rsid w:val="00D62C81"/>
    <w:rPr>
      <w:sz w:val="18"/>
    </w:rPr>
  </w:style>
  <w:style w:type="character" w:styleId="Endnotenzeichen">
    <w:name w:val="endnote reference"/>
    <w:basedOn w:val="Absatz-Standardschriftart"/>
    <w:semiHidden/>
    <w:rsid w:val="00D62C81"/>
    <w:rPr>
      <w:vertAlign w:val="superscript"/>
    </w:rPr>
  </w:style>
  <w:style w:type="paragraph" w:customStyle="1" w:styleId="Tabelle1AnhangX">
    <w:name w:val="Tabelle1AnhangX"/>
    <w:rsid w:val="00D62C81"/>
    <w:pPr>
      <w:keepLines/>
      <w:tabs>
        <w:tab w:val="right" w:pos="1191"/>
      </w:tabs>
      <w:spacing w:before="80"/>
      <w:jc w:val="both"/>
    </w:pPr>
    <w:rPr>
      <w:rFonts w:ascii="Arial" w:hAnsi="Arial"/>
      <w:color w:val="000000"/>
      <w:sz w:val="16"/>
      <w:lang w:val="en-US"/>
    </w:rPr>
  </w:style>
  <w:style w:type="paragraph" w:customStyle="1" w:styleId="NormalList123Spalte">
    <w:name w:val="Normal List 123 Spalte"/>
    <w:basedOn w:val="NormalListSpalte"/>
    <w:rsid w:val="00D62C81"/>
    <w:pPr>
      <w:tabs>
        <w:tab w:val="clear" w:pos="425"/>
        <w:tab w:val="left" w:pos="431"/>
      </w:tabs>
      <w:ind w:left="431" w:hanging="431"/>
    </w:pPr>
  </w:style>
  <w:style w:type="paragraph" w:customStyle="1" w:styleId="Betrifft">
    <w:name w:val="Betrifft"/>
    <w:basedOn w:val="Standard"/>
    <w:rsid w:val="00D62C81"/>
    <w:pPr>
      <w:tabs>
        <w:tab w:val="clear" w:pos="425"/>
        <w:tab w:val="clear" w:pos="851"/>
        <w:tab w:val="clear" w:pos="1276"/>
      </w:tabs>
      <w:spacing w:before="480"/>
      <w:jc w:val="left"/>
    </w:pPr>
    <w:rPr>
      <w:color w:val="auto"/>
      <w:sz w:val="24"/>
    </w:rPr>
  </w:style>
  <w:style w:type="paragraph" w:customStyle="1" w:styleId="Hier">
    <w:name w:val="Hier"/>
    <w:basedOn w:val="Standard"/>
    <w:rsid w:val="00D62C81"/>
    <w:pPr>
      <w:tabs>
        <w:tab w:val="clear" w:pos="425"/>
        <w:tab w:val="clear" w:pos="851"/>
        <w:tab w:val="clear" w:pos="1276"/>
        <w:tab w:val="left" w:pos="284"/>
      </w:tabs>
      <w:ind w:left="284" w:hanging="284"/>
      <w:jc w:val="left"/>
    </w:pPr>
    <w:rPr>
      <w:color w:val="auto"/>
      <w:sz w:val="24"/>
    </w:rPr>
  </w:style>
  <w:style w:type="paragraph" w:styleId="Textkrper">
    <w:name w:val="Body Text"/>
    <w:basedOn w:val="Standard"/>
    <w:rsid w:val="00D62C81"/>
    <w:pPr>
      <w:tabs>
        <w:tab w:val="clear" w:pos="425"/>
        <w:tab w:val="clear" w:pos="851"/>
        <w:tab w:val="clear" w:pos="1276"/>
      </w:tabs>
      <w:spacing w:line="360" w:lineRule="auto"/>
      <w:jc w:val="left"/>
    </w:pPr>
    <w:rPr>
      <w:b/>
      <w:color w:val="auto"/>
      <w:sz w:val="24"/>
    </w:rPr>
  </w:style>
  <w:style w:type="paragraph" w:customStyle="1" w:styleId="Textkrper21">
    <w:name w:val="Textkörper 21"/>
    <w:basedOn w:val="Standard"/>
    <w:rsid w:val="00D62C81"/>
    <w:pPr>
      <w:tabs>
        <w:tab w:val="clear" w:pos="425"/>
        <w:tab w:val="clear" w:pos="851"/>
        <w:tab w:val="clear" w:pos="1276"/>
        <w:tab w:val="left" w:pos="426"/>
        <w:tab w:val="left" w:pos="2268"/>
      </w:tabs>
      <w:spacing w:line="360" w:lineRule="auto"/>
      <w:ind w:left="426" w:hanging="426"/>
      <w:jc w:val="left"/>
    </w:pPr>
    <w:rPr>
      <w:color w:val="auto"/>
      <w:sz w:val="24"/>
    </w:rPr>
  </w:style>
  <w:style w:type="paragraph" w:customStyle="1" w:styleId="Textkrper-Einzug21">
    <w:name w:val="Textkörper-Einzug 21"/>
    <w:basedOn w:val="Standard"/>
    <w:rsid w:val="00D62C81"/>
    <w:pPr>
      <w:tabs>
        <w:tab w:val="clear" w:pos="425"/>
        <w:tab w:val="clear" w:pos="851"/>
        <w:tab w:val="clear" w:pos="1276"/>
        <w:tab w:val="left" w:pos="0"/>
        <w:tab w:val="left" w:pos="993"/>
        <w:tab w:val="left" w:pos="2268"/>
      </w:tabs>
      <w:spacing w:line="360" w:lineRule="auto"/>
      <w:ind w:left="426" w:hanging="142"/>
      <w:jc w:val="left"/>
    </w:pPr>
    <w:rPr>
      <w:color w:val="auto"/>
      <w:sz w:val="24"/>
    </w:rPr>
  </w:style>
  <w:style w:type="paragraph" w:customStyle="1" w:styleId="Textkrper-Einzug31">
    <w:name w:val="Textkörper-Einzug 31"/>
    <w:basedOn w:val="Standard"/>
    <w:rsid w:val="00D62C81"/>
    <w:pPr>
      <w:tabs>
        <w:tab w:val="clear" w:pos="425"/>
        <w:tab w:val="clear" w:pos="851"/>
        <w:tab w:val="clear" w:pos="1276"/>
        <w:tab w:val="left" w:pos="0"/>
        <w:tab w:val="left" w:pos="993"/>
        <w:tab w:val="left" w:pos="2268"/>
      </w:tabs>
      <w:spacing w:line="360" w:lineRule="auto"/>
      <w:ind w:left="426"/>
      <w:jc w:val="left"/>
    </w:pPr>
    <w:rPr>
      <w:color w:val="auto"/>
      <w:sz w:val="24"/>
    </w:rPr>
  </w:style>
  <w:style w:type="paragraph" w:customStyle="1" w:styleId="a">
    <w:rsid w:val="00D62C81"/>
    <w:pPr>
      <w:tabs>
        <w:tab w:val="left" w:pos="425"/>
        <w:tab w:val="left" w:pos="851"/>
        <w:tab w:val="left" w:pos="1276"/>
      </w:tabs>
      <w:jc w:val="both"/>
    </w:pPr>
    <w:rPr>
      <w:rFonts w:ascii="Arial" w:hAnsi="Arial"/>
      <w:color w:val="000000"/>
      <w:sz w:val="22"/>
    </w:rPr>
  </w:style>
  <w:style w:type="paragraph" w:styleId="Textkrper-Zeileneinzug">
    <w:name w:val="Body Text Indent"/>
    <w:basedOn w:val="Standard"/>
    <w:rsid w:val="00D62C81"/>
    <w:pPr>
      <w:ind w:left="4254" w:hanging="4254"/>
    </w:pPr>
    <w:rPr>
      <w:b/>
    </w:rPr>
  </w:style>
  <w:style w:type="paragraph" w:styleId="Textkrper-Einzug2">
    <w:name w:val="Body Text Indent 2"/>
    <w:basedOn w:val="Standard"/>
    <w:rsid w:val="00D62C81"/>
    <w:pPr>
      <w:ind w:left="8508" w:hanging="4254"/>
    </w:pPr>
    <w:rPr>
      <w:b/>
    </w:rPr>
  </w:style>
  <w:style w:type="paragraph" w:styleId="Textkrper-Einzug3">
    <w:name w:val="Body Text Indent 3"/>
    <w:basedOn w:val="Standard"/>
    <w:rsid w:val="00D62C81"/>
    <w:pPr>
      <w:tabs>
        <w:tab w:val="left" w:pos="567"/>
      </w:tabs>
      <w:ind w:left="567" w:hanging="567"/>
    </w:pPr>
  </w:style>
  <w:style w:type="paragraph" w:customStyle="1" w:styleId="NormalList123">
    <w:name w:val="Normal List123"/>
    <w:basedOn w:val="NormalList"/>
    <w:rsid w:val="00D62C81"/>
    <w:pPr>
      <w:tabs>
        <w:tab w:val="clear" w:pos="425"/>
        <w:tab w:val="clear" w:pos="851"/>
        <w:tab w:val="clear" w:pos="1276"/>
        <w:tab w:val="clear" w:pos="1400"/>
        <w:tab w:val="left" w:pos="1660"/>
      </w:tabs>
      <w:ind w:firstLine="0"/>
    </w:pPr>
  </w:style>
  <w:style w:type="paragraph" w:customStyle="1" w:styleId="NormalList1230">
    <w:name w:val="Normal List 123"/>
    <w:basedOn w:val="Standard"/>
    <w:rsid w:val="00D62C81"/>
    <w:pPr>
      <w:tabs>
        <w:tab w:val="clear" w:pos="425"/>
        <w:tab w:val="clear" w:pos="851"/>
        <w:tab w:val="clear" w:pos="1276"/>
      </w:tabs>
      <w:spacing w:before="60"/>
      <w:ind w:left="1700" w:hanging="300"/>
    </w:pPr>
    <w:rPr>
      <w:sz w:val="18"/>
    </w:rPr>
  </w:style>
  <w:style w:type="paragraph" w:customStyle="1" w:styleId="Tabellenformat1Kla010">
    <w:name w:val="Tabellenformat 1. Kla010"/>
    <w:rsid w:val="00D62C81"/>
    <w:pPr>
      <w:keepLines/>
      <w:spacing w:before="100" w:after="100" w:line="240" w:lineRule="atLeast"/>
      <w:ind w:left="280" w:right="20" w:hanging="260"/>
    </w:pPr>
    <w:rPr>
      <w:rFonts w:ascii="Arial" w:hAnsi="Arial"/>
      <w:color w:val="000000"/>
      <w:sz w:val="18"/>
      <w:lang w:val="en-US"/>
    </w:rPr>
  </w:style>
  <w:style w:type="paragraph" w:customStyle="1" w:styleId="NormalBemerkung123">
    <w:name w:val="Normal Bemerkung123"/>
    <w:basedOn w:val="NormalBemerkung"/>
    <w:rsid w:val="00D62C81"/>
    <w:pPr>
      <w:tabs>
        <w:tab w:val="clear" w:pos="425"/>
        <w:tab w:val="clear" w:pos="851"/>
        <w:tab w:val="clear" w:pos="1276"/>
        <w:tab w:val="left" w:pos="1980"/>
      </w:tabs>
    </w:pPr>
  </w:style>
  <w:style w:type="paragraph" w:customStyle="1" w:styleId="TabelleAnhangII">
    <w:name w:val="Tabelle Anhang II"/>
    <w:rsid w:val="00D62C81"/>
    <w:pPr>
      <w:keepLines/>
      <w:tabs>
        <w:tab w:val="right" w:pos="1180"/>
      </w:tabs>
      <w:spacing w:before="80" w:after="80"/>
      <w:jc w:val="both"/>
    </w:pPr>
    <w:rPr>
      <w:rFonts w:ascii="Arial" w:hAnsi="Arial"/>
      <w:color w:val="000000"/>
      <w:sz w:val="18"/>
      <w:lang w:val="en-US"/>
    </w:rPr>
  </w:style>
  <w:style w:type="paragraph" w:styleId="Aufzhlungszeichen">
    <w:name w:val="List Bullet"/>
    <w:basedOn w:val="Standard"/>
    <w:autoRedefine/>
    <w:rsid w:val="00D62C81"/>
    <w:pPr>
      <w:numPr>
        <w:numId w:val="4"/>
      </w:numPr>
    </w:pPr>
  </w:style>
  <w:style w:type="paragraph" w:styleId="Textkrper2">
    <w:name w:val="Body Text 2"/>
    <w:basedOn w:val="Standard"/>
    <w:rsid w:val="00D62C81"/>
    <w:pPr>
      <w:widowControl w:val="0"/>
      <w:tabs>
        <w:tab w:val="left" w:pos="5580"/>
      </w:tabs>
      <w:jc w:val="left"/>
    </w:pPr>
  </w:style>
  <w:style w:type="paragraph" w:styleId="Sprechblasentext">
    <w:name w:val="Balloon Text"/>
    <w:basedOn w:val="Standard"/>
    <w:semiHidden/>
    <w:rsid w:val="001E2089"/>
    <w:rPr>
      <w:rFonts w:ascii="Tahoma" w:hAnsi="Tahoma" w:cs="Tahoma"/>
      <w:sz w:val="16"/>
      <w:szCs w:val="16"/>
    </w:rPr>
  </w:style>
  <w:style w:type="paragraph" w:styleId="Textkrper3">
    <w:name w:val="Body Text 3"/>
    <w:basedOn w:val="Standard"/>
    <w:rsid w:val="006930B9"/>
    <w:pPr>
      <w:spacing w:after="120"/>
    </w:pPr>
    <w:rPr>
      <w:sz w:val="16"/>
      <w:szCs w:val="16"/>
    </w:rPr>
  </w:style>
  <w:style w:type="character" w:customStyle="1" w:styleId="KopfzeileZchn">
    <w:name w:val="Kopfzeile Zchn"/>
    <w:aliases w:val="6_G Zchn"/>
    <w:basedOn w:val="Absatz-Standardschriftart"/>
    <w:link w:val="Kopfzeile"/>
    <w:uiPriority w:val="99"/>
    <w:rsid w:val="00DE4620"/>
    <w:rPr>
      <w:rFonts w:ascii="Arial" w:hAnsi="Arial"/>
      <w:color w:val="000000"/>
      <w:sz w:val="22"/>
    </w:rPr>
  </w:style>
  <w:style w:type="paragraph" w:customStyle="1" w:styleId="OTIFPieddepageAdresseOTIF">
    <w:name w:val="OTIF_Pied_de_page_Adresse_OTIF"/>
    <w:basedOn w:val="Fuzeile"/>
    <w:rsid w:val="00DE4620"/>
    <w:pPr>
      <w:jc w:val="center"/>
    </w:pPr>
    <w:rPr>
      <w:b/>
      <w:color w:val="000000"/>
      <w:sz w:val="18"/>
      <w:lang w:val="fr-FR"/>
    </w:rPr>
  </w:style>
  <w:style w:type="character" w:customStyle="1" w:styleId="KommentartextZchn">
    <w:name w:val="Kommentartext Zchn"/>
    <w:basedOn w:val="Absatz-Standardschriftart"/>
    <w:link w:val="Kommentartext"/>
    <w:uiPriority w:val="99"/>
    <w:semiHidden/>
    <w:rsid w:val="006B7ADF"/>
    <w:rPr>
      <w:rFonts w:ascii="Arial" w:hAnsi="Arial"/>
      <w:color w:val="000000"/>
      <w:sz w:val="18"/>
    </w:rPr>
  </w:style>
  <w:style w:type="table" w:styleId="Tabellenraster">
    <w:name w:val="Table Grid"/>
    <w:basedOn w:val="NormaleTabelle"/>
    <w:rsid w:val="00A8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16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8F42E-F2C9-45B5-9917-DDE1E130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2998</Words>
  <Characters>19698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OTIF</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Gemeinsame RID/ADR/ADN-Tagung (Bern, 25. bis 28. März 2024)</dc:subject>
  <dc:creator>Jochen Conrad</dc:creator>
  <cp:lastModifiedBy>Conrad Jochen</cp:lastModifiedBy>
  <cp:revision>10</cp:revision>
  <cp:lastPrinted>2004-12-07T12:51:00Z</cp:lastPrinted>
  <dcterms:created xsi:type="dcterms:W3CDTF">2024-03-01T20:00:00Z</dcterms:created>
  <dcterms:modified xsi:type="dcterms:W3CDTF">2024-03-04T14:44:00Z</dcterms:modified>
</cp:coreProperties>
</file>

<file path=docProps/custom.xml><?xml version="1.0" encoding="utf-8"?>
<Properties xmlns="http://schemas.openxmlformats.org/officeDocument/2006/custom-properties" xmlns:vt="http://schemas.openxmlformats.org/officeDocument/2006/docPropsVTypes"/>
</file>